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73F53" w14:textId="794E01A9" w:rsidR="007C2924" w:rsidRPr="00445468" w:rsidRDefault="007C2924" w:rsidP="007C2924">
      <w:pPr>
        <w:pStyle w:val="3GPPHeader"/>
        <w:spacing w:after="60"/>
        <w:rPr>
          <w:rFonts w:cs="Arial"/>
          <w:sz w:val="32"/>
          <w:szCs w:val="32"/>
        </w:rPr>
      </w:pPr>
      <w:r w:rsidRPr="00445468">
        <w:rPr>
          <w:rFonts w:cs="Arial"/>
        </w:rPr>
        <w:t>3GPP RAN WG2 Meeting #106</w:t>
      </w:r>
      <w:r w:rsidRPr="00445468">
        <w:rPr>
          <w:rFonts w:cs="Arial"/>
        </w:rPr>
        <w:tab/>
      </w:r>
      <w:r w:rsidRPr="00445468">
        <w:rPr>
          <w:rFonts w:cs="Arial"/>
          <w:bCs/>
          <w:sz w:val="26"/>
          <w:szCs w:val="26"/>
        </w:rPr>
        <w:t>R2-</w:t>
      </w:r>
      <w:r w:rsidR="00365C63" w:rsidRPr="00445468">
        <w:rPr>
          <w:rFonts w:cs="Arial"/>
          <w:bCs/>
          <w:sz w:val="26"/>
          <w:szCs w:val="26"/>
        </w:rPr>
        <w:t>190</w:t>
      </w:r>
      <w:r w:rsidR="00365C63">
        <w:rPr>
          <w:rFonts w:cs="Arial"/>
          <w:bCs/>
          <w:sz w:val="26"/>
          <w:szCs w:val="26"/>
        </w:rPr>
        <w:t>8244</w:t>
      </w:r>
    </w:p>
    <w:p w14:paraId="52752C8A" w14:textId="77777777" w:rsidR="007C2924" w:rsidRPr="00445468" w:rsidRDefault="007C2924" w:rsidP="007C2924">
      <w:pPr>
        <w:pStyle w:val="3GPPHeader"/>
        <w:rPr>
          <w:rFonts w:cs="Arial"/>
        </w:rPr>
      </w:pPr>
      <w:r w:rsidRPr="00445468">
        <w:rPr>
          <w:rFonts w:cs="Arial"/>
        </w:rPr>
        <w:t>Reno, United States, May 13</w:t>
      </w:r>
      <w:r w:rsidRPr="00445468">
        <w:rPr>
          <w:rFonts w:cs="Arial"/>
          <w:vertAlign w:val="superscript"/>
        </w:rPr>
        <w:t>th</w:t>
      </w:r>
      <w:r w:rsidRPr="00445468">
        <w:rPr>
          <w:rFonts w:cs="Arial"/>
        </w:rPr>
        <w:t xml:space="preserve"> – May 17</w:t>
      </w:r>
      <w:r w:rsidRPr="00445468">
        <w:rPr>
          <w:rFonts w:cs="Arial"/>
          <w:vertAlign w:val="superscript"/>
        </w:rPr>
        <w:t>th</w:t>
      </w:r>
      <w:r w:rsidRPr="00445468">
        <w:rPr>
          <w:rFonts w:cs="Arial"/>
        </w:rPr>
        <w:t xml:space="preserve">, 2019                       </w:t>
      </w:r>
      <w:r w:rsidRPr="00445468">
        <w:rPr>
          <w:rFonts w:cs="Arial"/>
        </w:rPr>
        <w:tab/>
      </w:r>
    </w:p>
    <w:p w14:paraId="743A9EB8" w14:textId="331E9205" w:rsidR="007C2924" w:rsidRPr="006C0E50" w:rsidRDefault="007C2924" w:rsidP="007C2924">
      <w:pPr>
        <w:pStyle w:val="3GPPHeader"/>
        <w:rPr>
          <w:rFonts w:cs="Arial"/>
          <w:sz w:val="22"/>
          <w:szCs w:val="22"/>
          <w:lang w:val="en-US"/>
        </w:rPr>
      </w:pPr>
      <w:r w:rsidRPr="006C0E50">
        <w:rPr>
          <w:rFonts w:cs="Arial"/>
          <w:sz w:val="22"/>
          <w:szCs w:val="22"/>
          <w:lang w:val="en-US"/>
        </w:rPr>
        <w:t>Agenda Item:</w:t>
      </w:r>
      <w:r w:rsidRPr="006C0E50">
        <w:rPr>
          <w:rFonts w:cs="Arial"/>
          <w:sz w:val="22"/>
          <w:szCs w:val="22"/>
          <w:lang w:val="en-US"/>
        </w:rPr>
        <w:tab/>
        <w:t>11.</w:t>
      </w:r>
      <w:r w:rsidR="002837EB" w:rsidRPr="006C0E50">
        <w:rPr>
          <w:rFonts w:cs="Arial"/>
          <w:sz w:val="22"/>
          <w:szCs w:val="22"/>
          <w:lang w:val="en-US"/>
        </w:rPr>
        <w:t>6.4.1</w:t>
      </w:r>
    </w:p>
    <w:p w14:paraId="07E7EAF7" w14:textId="58AC2DDA" w:rsidR="007C2924" w:rsidRPr="00365C63" w:rsidRDefault="007C2924" w:rsidP="007C2924">
      <w:pPr>
        <w:pStyle w:val="3GPPHeader"/>
        <w:rPr>
          <w:rFonts w:cs="Arial"/>
          <w:sz w:val="22"/>
          <w:szCs w:val="22"/>
          <w:lang w:val="en-US"/>
        </w:rPr>
      </w:pPr>
      <w:r w:rsidRPr="00365C63">
        <w:rPr>
          <w:rFonts w:cs="Arial"/>
          <w:sz w:val="22"/>
          <w:szCs w:val="22"/>
          <w:lang w:val="en-US"/>
        </w:rPr>
        <w:t>Source:</w:t>
      </w:r>
      <w:r w:rsidRPr="00365C63">
        <w:rPr>
          <w:rFonts w:cs="Arial"/>
          <w:sz w:val="22"/>
          <w:szCs w:val="22"/>
          <w:lang w:val="en-US"/>
        </w:rPr>
        <w:tab/>
        <w:t>InterDigital</w:t>
      </w:r>
      <w:r w:rsidR="006C0E50" w:rsidRPr="00365C63">
        <w:rPr>
          <w:rFonts w:cs="Arial"/>
          <w:sz w:val="22"/>
          <w:szCs w:val="22"/>
          <w:lang w:val="en-US"/>
        </w:rPr>
        <w:t xml:space="preserve"> Inc.</w:t>
      </w:r>
      <w:r w:rsidR="00365C63" w:rsidRPr="00365C63">
        <w:rPr>
          <w:rFonts w:cs="Arial"/>
          <w:sz w:val="22"/>
          <w:szCs w:val="22"/>
          <w:lang w:val="en-US"/>
        </w:rPr>
        <w:t xml:space="preserve">, </w:t>
      </w:r>
      <w:proofErr w:type="spellStart"/>
      <w:r w:rsidR="00365C63" w:rsidRPr="00365C63">
        <w:rPr>
          <w:rFonts w:cs="Arial"/>
          <w:sz w:val="22"/>
          <w:szCs w:val="22"/>
          <w:lang w:val="en-US"/>
        </w:rPr>
        <w:t>Nomor</w:t>
      </w:r>
      <w:proofErr w:type="spellEnd"/>
      <w:r w:rsidR="0031152B">
        <w:rPr>
          <w:rFonts w:cs="Arial"/>
          <w:sz w:val="22"/>
          <w:szCs w:val="22"/>
          <w:lang w:val="en-US"/>
        </w:rPr>
        <w:t xml:space="preserve"> Research</w:t>
      </w:r>
      <w:r w:rsidR="00365C63" w:rsidRPr="00365C63">
        <w:rPr>
          <w:rFonts w:cs="Arial"/>
          <w:sz w:val="22"/>
          <w:szCs w:val="22"/>
          <w:lang w:val="en-US"/>
        </w:rPr>
        <w:t>, T</w:t>
      </w:r>
      <w:r w:rsidR="00365C63" w:rsidRPr="0031152B">
        <w:rPr>
          <w:rFonts w:cs="Arial"/>
          <w:sz w:val="22"/>
          <w:szCs w:val="22"/>
          <w:lang w:val="en-US"/>
        </w:rPr>
        <w:t>hales, Media</w:t>
      </w:r>
      <w:r w:rsidR="00365C63">
        <w:rPr>
          <w:rFonts w:cs="Arial"/>
          <w:sz w:val="22"/>
          <w:szCs w:val="22"/>
          <w:lang w:val="en-US"/>
        </w:rPr>
        <w:t>Tek</w:t>
      </w:r>
    </w:p>
    <w:p w14:paraId="672DAB6B" w14:textId="3C6E9BD8" w:rsidR="007C2924" w:rsidRPr="00445468" w:rsidRDefault="007C2924" w:rsidP="007C2924">
      <w:pPr>
        <w:pStyle w:val="3GPPHeader"/>
        <w:jc w:val="left"/>
        <w:rPr>
          <w:rFonts w:cs="Arial"/>
          <w:color w:val="000000"/>
          <w:sz w:val="22"/>
          <w:szCs w:val="22"/>
        </w:rPr>
      </w:pPr>
      <w:r w:rsidRPr="00445468">
        <w:rPr>
          <w:rFonts w:cs="Arial"/>
          <w:sz w:val="22"/>
          <w:szCs w:val="22"/>
        </w:rPr>
        <w:t>Title:</w:t>
      </w:r>
      <w:r w:rsidRPr="00445468">
        <w:rPr>
          <w:rFonts w:cs="Arial"/>
          <w:sz w:val="22"/>
          <w:szCs w:val="22"/>
        </w:rPr>
        <w:tab/>
        <w:t>Mobility</w:t>
      </w:r>
      <w:r w:rsidR="00365C63">
        <w:rPr>
          <w:rFonts w:cs="Arial"/>
          <w:sz w:val="22"/>
          <w:szCs w:val="22"/>
        </w:rPr>
        <w:t xml:space="preserve"> Challenges</w:t>
      </w:r>
      <w:r w:rsidRPr="00445468">
        <w:rPr>
          <w:rFonts w:cs="Arial"/>
          <w:sz w:val="22"/>
          <w:szCs w:val="22"/>
        </w:rPr>
        <w:t xml:space="preserve"> </w:t>
      </w:r>
      <w:r w:rsidR="00365C63">
        <w:rPr>
          <w:rFonts w:cs="Arial"/>
          <w:sz w:val="22"/>
          <w:szCs w:val="22"/>
        </w:rPr>
        <w:t>in</w:t>
      </w:r>
      <w:r w:rsidR="00365C63" w:rsidRPr="00445468">
        <w:rPr>
          <w:rFonts w:cs="Arial"/>
          <w:sz w:val="22"/>
          <w:szCs w:val="22"/>
        </w:rPr>
        <w:t xml:space="preserve"> </w:t>
      </w:r>
      <w:r w:rsidRPr="00445468">
        <w:rPr>
          <w:rFonts w:cs="Arial"/>
          <w:sz w:val="22"/>
          <w:szCs w:val="22"/>
        </w:rPr>
        <w:t>Non-Terrestrial Networks (NTN)</w:t>
      </w:r>
    </w:p>
    <w:p w14:paraId="5E160FB8" w14:textId="77777777" w:rsidR="007C2924" w:rsidRPr="00445468" w:rsidRDefault="007C2924" w:rsidP="007C2924">
      <w:pPr>
        <w:pStyle w:val="3GPPHeader"/>
        <w:rPr>
          <w:rFonts w:cs="Arial"/>
          <w:sz w:val="22"/>
          <w:szCs w:val="22"/>
        </w:rPr>
      </w:pPr>
      <w:r w:rsidRPr="00445468">
        <w:rPr>
          <w:rFonts w:cs="Arial"/>
          <w:sz w:val="22"/>
          <w:szCs w:val="22"/>
        </w:rPr>
        <w:t>Document for:</w:t>
      </w:r>
      <w:r w:rsidRPr="00445468">
        <w:rPr>
          <w:rFonts w:cs="Arial"/>
          <w:sz w:val="22"/>
          <w:szCs w:val="22"/>
        </w:rPr>
        <w:tab/>
        <w:t>Discussion, Decision</w:t>
      </w:r>
    </w:p>
    <w:p w14:paraId="0F65FC9C" w14:textId="77777777" w:rsidR="007C2924" w:rsidRPr="00445468" w:rsidRDefault="007C2924" w:rsidP="007C2924">
      <w:pPr>
        <w:pStyle w:val="Heading1"/>
      </w:pPr>
      <w:r w:rsidRPr="00445468">
        <w:t>Introduction</w:t>
      </w:r>
    </w:p>
    <w:p w14:paraId="42DBF008" w14:textId="3959836D" w:rsidR="00C157BD" w:rsidRDefault="00C157BD" w:rsidP="007F4DDC">
      <w:pPr>
        <w:pStyle w:val="Doc-text2"/>
        <w:spacing w:after="120"/>
        <w:ind w:left="0" w:firstLine="0"/>
        <w:jc w:val="both"/>
        <w:rPr>
          <w:lang w:val="en-US"/>
        </w:rPr>
      </w:pPr>
      <w:r>
        <w:rPr>
          <w:lang w:val="en-US"/>
        </w:rPr>
        <w:t xml:space="preserve">During RAN2#105bis [6], it was determined that mobility enhancements </w:t>
      </w:r>
      <w:proofErr w:type="gramStart"/>
      <w:r>
        <w:rPr>
          <w:lang w:val="en-US"/>
        </w:rPr>
        <w:t>“..</w:t>
      </w:r>
      <w:proofErr w:type="gramEnd"/>
      <w:r>
        <w:rPr>
          <w:lang w:val="en-US"/>
        </w:rPr>
        <w:t xml:space="preserve"> </w:t>
      </w:r>
      <w:r w:rsidRPr="00910789">
        <w:rPr>
          <w:i/>
          <w:lang w:val="en-US"/>
        </w:rPr>
        <w:t>will be treated in RAN2#106 once the CHO has progressed</w:t>
      </w:r>
      <w:r>
        <w:rPr>
          <w:lang w:val="en-US"/>
        </w:rPr>
        <w:t>”.</w:t>
      </w:r>
    </w:p>
    <w:p w14:paraId="3A13B08F" w14:textId="234D904E" w:rsidR="00C157BD" w:rsidRPr="00C157BD" w:rsidRDefault="00C157BD" w:rsidP="007F4DDC">
      <w:pPr>
        <w:pStyle w:val="Doc-text2"/>
        <w:spacing w:after="120"/>
        <w:ind w:left="0" w:firstLine="0"/>
        <w:jc w:val="both"/>
        <w:rPr>
          <w:lang w:val="en-US"/>
        </w:rPr>
      </w:pPr>
      <w:r w:rsidRPr="00C157BD">
        <w:rPr>
          <w:lang w:val="en-US"/>
        </w:rPr>
        <w:t>This contribution</w:t>
      </w:r>
      <w:r w:rsidRPr="007F4DDC">
        <w:rPr>
          <w:lang w:val="en-US"/>
        </w:rPr>
        <w:t xml:space="preserve"> provides a </w:t>
      </w:r>
      <w:r w:rsidRPr="00C157BD">
        <w:rPr>
          <w:lang w:val="en-US"/>
        </w:rPr>
        <w:t>survey</w:t>
      </w:r>
      <w:r w:rsidRPr="007F4DDC">
        <w:rPr>
          <w:lang w:val="en-US"/>
        </w:rPr>
        <w:t xml:space="preserve"> of</w:t>
      </w:r>
      <w:r w:rsidRPr="00C157BD">
        <w:rPr>
          <w:lang w:val="en-US"/>
        </w:rPr>
        <w:t xml:space="preserve"> contributions su</w:t>
      </w:r>
      <w:r w:rsidRPr="007F4DDC">
        <w:rPr>
          <w:lang w:val="en-US"/>
        </w:rPr>
        <w:t xml:space="preserve">bmitted </w:t>
      </w:r>
      <w:r>
        <w:rPr>
          <w:lang w:val="en-US"/>
        </w:rPr>
        <w:t xml:space="preserve">on mobility in terms of </w:t>
      </w:r>
      <w:r w:rsidR="00401A01">
        <w:rPr>
          <w:lang w:val="en-US"/>
        </w:rPr>
        <w:t xml:space="preserve">connected mode mobility </w:t>
      </w:r>
      <w:r>
        <w:rPr>
          <w:lang w:val="en-US"/>
        </w:rPr>
        <w:t xml:space="preserve">challenges and related deployments scenarios. It also proposes a way forward and a text proposal for mobility for NR NTN. </w:t>
      </w:r>
    </w:p>
    <w:p w14:paraId="7E5D4FDE" w14:textId="65515338" w:rsidR="00FD2D39" w:rsidRPr="00FD2D39" w:rsidRDefault="007C2924" w:rsidP="00FD2D39">
      <w:pPr>
        <w:pStyle w:val="Heading1"/>
      </w:pPr>
      <w:r w:rsidRPr="00445468">
        <w:t xml:space="preserve">Mobility for Non-terrestrial Networks </w:t>
      </w:r>
    </w:p>
    <w:p w14:paraId="426A234C" w14:textId="77777777" w:rsidR="00BF12C9" w:rsidRDefault="002B290E" w:rsidP="00BF12C9">
      <w:pPr>
        <w:pStyle w:val="Doc-text2"/>
        <w:spacing w:after="120"/>
        <w:ind w:left="0" w:firstLine="0"/>
      </w:pPr>
      <w:r>
        <w:t>The</w:t>
      </w:r>
      <w:r w:rsidR="000344A3">
        <w:t xml:space="preserve"> SID approved in RANP#83 [1]</w:t>
      </w:r>
      <w:r>
        <w:t xml:space="preserve"> describes </w:t>
      </w:r>
      <w:r w:rsidR="000344A3">
        <w:t xml:space="preserve">two </w:t>
      </w:r>
      <w:r w:rsidR="00CA53DE">
        <w:t>areas of focus</w:t>
      </w:r>
      <w:r w:rsidR="000344A3">
        <w:t xml:space="preserve"> </w:t>
      </w:r>
      <w:r w:rsidR="00CA53DE">
        <w:t xml:space="preserve">for </w:t>
      </w:r>
      <w:r w:rsidR="000344A3">
        <w:t>RAN2:</w:t>
      </w:r>
    </w:p>
    <w:p w14:paraId="261017A7" w14:textId="55553F4C" w:rsidR="000344A3" w:rsidRPr="00CA53DE" w:rsidRDefault="000344A3" w:rsidP="00BF12C9">
      <w:pPr>
        <w:pStyle w:val="Doc-text2"/>
        <w:numPr>
          <w:ilvl w:val="0"/>
          <w:numId w:val="17"/>
        </w:numPr>
        <w:spacing w:after="120"/>
        <w:rPr>
          <w:i/>
        </w:rPr>
      </w:pPr>
      <w:r w:rsidRPr="00CA53DE">
        <w:rPr>
          <w:i/>
        </w:rPr>
        <w:t>Propagation delay: Identify timing requirements and solutions on layer 2 aspects including MAC, RLC, RRC and radio link management</w:t>
      </w:r>
    </w:p>
    <w:p w14:paraId="52682900" w14:textId="77777777" w:rsidR="000344A3" w:rsidRPr="00CA53DE" w:rsidRDefault="000344A3" w:rsidP="0023184A">
      <w:pPr>
        <w:pStyle w:val="Doc-text2"/>
        <w:numPr>
          <w:ilvl w:val="0"/>
          <w:numId w:val="4"/>
        </w:numPr>
        <w:spacing w:after="120"/>
        <w:rPr>
          <w:i/>
        </w:rPr>
      </w:pPr>
      <w:r w:rsidRPr="00CA53DE">
        <w:rPr>
          <w:i/>
        </w:rPr>
        <w:t>Handover: study and identify mobility requirements and measurements that may be needed for handovers between Non GEO satellites that move at high speeds but over predictable paths.</w:t>
      </w:r>
    </w:p>
    <w:p w14:paraId="68F4C57D" w14:textId="2543EDB9" w:rsidR="009D3C44" w:rsidRDefault="002B290E" w:rsidP="0023184A">
      <w:pPr>
        <w:pStyle w:val="Doc-text2"/>
        <w:spacing w:after="120"/>
        <w:ind w:left="0" w:firstLine="0"/>
        <w:jc w:val="both"/>
        <w:rPr>
          <w:lang w:val="en-US"/>
        </w:rPr>
      </w:pPr>
      <w:r>
        <w:t xml:space="preserve">Email discussion </w:t>
      </w:r>
      <w:r>
        <w:rPr>
          <w:lang w:val="en-US"/>
        </w:rPr>
        <w:t xml:space="preserve">[104#54] [5] covered </w:t>
      </w:r>
      <w:r w:rsidR="009E6FAF">
        <w:rPr>
          <w:lang w:val="en-US"/>
        </w:rPr>
        <w:t xml:space="preserve">these </w:t>
      </w:r>
      <w:r w:rsidR="002D2C37">
        <w:rPr>
          <w:lang w:val="en-US"/>
        </w:rPr>
        <w:t>aspects</w:t>
      </w:r>
      <w:r w:rsidR="009E6FAF">
        <w:rPr>
          <w:lang w:val="en-US"/>
        </w:rPr>
        <w:t xml:space="preserve"> in the context of mobility</w:t>
      </w:r>
      <w:r w:rsidR="0023184A">
        <w:rPr>
          <w:lang w:val="en-US"/>
        </w:rPr>
        <w:t>.</w:t>
      </w:r>
      <w:r>
        <w:rPr>
          <w:lang w:val="en-US"/>
        </w:rPr>
        <w:t xml:space="preserve"> </w:t>
      </w:r>
      <w:r w:rsidR="0023184A">
        <w:rPr>
          <w:lang w:val="en-US"/>
        </w:rPr>
        <w:t>W</w:t>
      </w:r>
      <w:r>
        <w:rPr>
          <w:lang w:val="en-US"/>
        </w:rPr>
        <w:t xml:space="preserve">hile </w:t>
      </w:r>
      <w:r w:rsidR="009D3C44">
        <w:rPr>
          <w:lang w:val="en-US"/>
        </w:rPr>
        <w:t xml:space="preserve">it was determined too early for </w:t>
      </w:r>
      <w:r>
        <w:rPr>
          <w:lang w:val="en-US"/>
        </w:rPr>
        <w:t>RAN2</w:t>
      </w:r>
      <w:r w:rsidR="009D3C44">
        <w:rPr>
          <w:lang w:val="en-US"/>
        </w:rPr>
        <w:t xml:space="preserve"> to converge on solutions, s</w:t>
      </w:r>
      <w:r w:rsidR="002930BC">
        <w:rPr>
          <w:lang w:val="en-US"/>
        </w:rPr>
        <w:t>everal observations</w:t>
      </w:r>
      <w:r w:rsidR="009D3C44">
        <w:rPr>
          <w:lang w:val="en-US"/>
        </w:rPr>
        <w:t xml:space="preserve"> </w:t>
      </w:r>
      <w:r>
        <w:rPr>
          <w:lang w:val="en-US"/>
        </w:rPr>
        <w:t xml:space="preserve">related to possible challenges to extending Rel-15 mobility procedures to non-terrestrial networks (NTN) </w:t>
      </w:r>
      <w:r w:rsidR="009D3C44">
        <w:rPr>
          <w:lang w:val="en-US"/>
        </w:rPr>
        <w:t>were</w:t>
      </w:r>
      <w:r w:rsidR="002930BC">
        <w:rPr>
          <w:lang w:val="en-US"/>
        </w:rPr>
        <w:t xml:space="preserve"> capture</w:t>
      </w:r>
      <w:r w:rsidR="009D3C44">
        <w:rPr>
          <w:lang w:val="en-US"/>
        </w:rPr>
        <w:t>d</w:t>
      </w:r>
      <w:r w:rsidR="002930BC">
        <w:rPr>
          <w:lang w:val="en-US"/>
        </w:rPr>
        <w:t xml:space="preserve"> in </w:t>
      </w:r>
      <w:r w:rsidR="005640B3">
        <w:rPr>
          <w:lang w:val="en-US"/>
        </w:rPr>
        <w:t>38.</w:t>
      </w:r>
      <w:r w:rsidR="00AA431A">
        <w:rPr>
          <w:lang w:val="en-US"/>
        </w:rPr>
        <w:t>821 [</w:t>
      </w:r>
      <w:r w:rsidR="00175B7E">
        <w:rPr>
          <w:lang w:val="en-US"/>
        </w:rPr>
        <w:t>7</w:t>
      </w:r>
      <w:r w:rsidR="00AA431A">
        <w:rPr>
          <w:lang w:val="en-US"/>
        </w:rPr>
        <w:t>]</w:t>
      </w:r>
      <w:r w:rsidR="002D2C37">
        <w:rPr>
          <w:lang w:val="en-US"/>
        </w:rPr>
        <w:t>:</w:t>
      </w:r>
    </w:p>
    <w:p w14:paraId="3FCD3C06" w14:textId="2CAFA25E" w:rsidR="009D3C44" w:rsidRPr="00CA53DE" w:rsidRDefault="009D3C44" w:rsidP="0023184A">
      <w:pPr>
        <w:pStyle w:val="Doc-text2"/>
        <w:numPr>
          <w:ilvl w:val="0"/>
          <w:numId w:val="13"/>
        </w:numPr>
        <w:spacing w:after="120"/>
        <w:rPr>
          <w:i/>
          <w:lang w:val="fr-FR"/>
        </w:rPr>
      </w:pPr>
      <w:r w:rsidRPr="00CA53DE">
        <w:rPr>
          <w:i/>
          <w:lang w:val="fr-FR"/>
        </w:rPr>
        <w:t>For GEO NTN:</w:t>
      </w:r>
    </w:p>
    <w:p w14:paraId="3F849396" w14:textId="77777777" w:rsidR="009D3C44" w:rsidRPr="00CA53DE" w:rsidRDefault="009D3C44" w:rsidP="0023184A">
      <w:pPr>
        <w:pStyle w:val="Doc-text2"/>
        <w:numPr>
          <w:ilvl w:val="1"/>
          <w:numId w:val="13"/>
        </w:numPr>
        <w:spacing w:after="120"/>
        <w:rPr>
          <w:i/>
          <w:lang w:val="en-US"/>
        </w:rPr>
      </w:pPr>
      <w:r w:rsidRPr="00CA53DE">
        <w:rPr>
          <w:i/>
          <w:lang w:val="en-US"/>
        </w:rPr>
        <w:t>Mobility management procedures require adaptations to accommodate large propagation delay. In particular radio link management may require specification configuration</w:t>
      </w:r>
    </w:p>
    <w:p w14:paraId="5C1EC06D" w14:textId="77777777" w:rsidR="009D3C44" w:rsidRPr="00CA53DE" w:rsidRDefault="009D3C44" w:rsidP="0023184A">
      <w:pPr>
        <w:pStyle w:val="Doc-text2"/>
        <w:numPr>
          <w:ilvl w:val="0"/>
          <w:numId w:val="13"/>
        </w:numPr>
        <w:spacing w:after="120"/>
        <w:rPr>
          <w:i/>
          <w:lang w:val="en-US"/>
        </w:rPr>
      </w:pPr>
      <w:r w:rsidRPr="00CA53DE">
        <w:rPr>
          <w:i/>
          <w:lang w:val="en-US"/>
        </w:rPr>
        <w:t>For LEO NTN:</w:t>
      </w:r>
    </w:p>
    <w:p w14:paraId="22C8F4C2" w14:textId="77777777" w:rsidR="009D3C44" w:rsidRDefault="009D3C44" w:rsidP="0023184A">
      <w:pPr>
        <w:pStyle w:val="Doc-text2"/>
        <w:numPr>
          <w:ilvl w:val="1"/>
          <w:numId w:val="13"/>
        </w:numPr>
        <w:spacing w:after="120"/>
        <w:rPr>
          <w:lang w:val="en-US"/>
        </w:rPr>
      </w:pPr>
      <w:r>
        <w:rPr>
          <w:i/>
          <w:lang w:val="en-US"/>
        </w:rPr>
        <w:t>Mobility management procedures should be enhanced to take into account satellite movement related to aspects such as measurement validity, UE velocity, movement direction, large and varying propagation delay and dynamic neighbor cell set</w:t>
      </w:r>
    </w:p>
    <w:p w14:paraId="079E529B" w14:textId="0498C5C6" w:rsidR="00ED5825" w:rsidRDefault="009D3C44" w:rsidP="0023184A">
      <w:pPr>
        <w:pStyle w:val="Doc-text2"/>
        <w:spacing w:after="120"/>
        <w:ind w:left="0" w:firstLine="0"/>
        <w:jc w:val="both"/>
        <w:rPr>
          <w:lang w:val="en-US"/>
        </w:rPr>
      </w:pPr>
      <w:r>
        <w:rPr>
          <w:lang w:val="en-US"/>
        </w:rPr>
        <w:t xml:space="preserve">Following </w:t>
      </w:r>
      <w:r w:rsidR="002B290E">
        <w:rPr>
          <w:lang w:val="en-US"/>
        </w:rPr>
        <w:t>[104#54],</w:t>
      </w:r>
      <w:r>
        <w:rPr>
          <w:lang w:val="en-US"/>
        </w:rPr>
        <w:t xml:space="preserve"> </w:t>
      </w:r>
      <w:r w:rsidR="006D5654">
        <w:rPr>
          <w:lang w:val="en-US"/>
        </w:rPr>
        <w:t xml:space="preserve">contributions </w:t>
      </w:r>
      <w:r w:rsidR="002B290E">
        <w:rPr>
          <w:lang w:val="en-US"/>
        </w:rPr>
        <w:t xml:space="preserve">submitted to </w:t>
      </w:r>
      <w:r>
        <w:rPr>
          <w:lang w:val="en-US"/>
        </w:rPr>
        <w:t>RAN2#105bis [</w:t>
      </w:r>
      <w:r w:rsidR="00175B7E">
        <w:rPr>
          <w:lang w:val="en-US"/>
        </w:rPr>
        <w:t>8</w:t>
      </w:r>
      <w:r>
        <w:rPr>
          <w:lang w:val="en-US"/>
        </w:rPr>
        <w:t>-</w:t>
      </w:r>
      <w:r w:rsidR="00175B7E">
        <w:rPr>
          <w:lang w:val="en-US"/>
        </w:rPr>
        <w:t>1</w:t>
      </w:r>
      <w:r w:rsidR="00E25F9E">
        <w:rPr>
          <w:lang w:val="en-US"/>
        </w:rPr>
        <w:t>7</w:t>
      </w:r>
      <w:r>
        <w:rPr>
          <w:lang w:val="en-US"/>
        </w:rPr>
        <w:t xml:space="preserve">] have elaborated on these </w:t>
      </w:r>
      <w:r w:rsidR="00871EE5">
        <w:rPr>
          <w:lang w:val="en-US"/>
        </w:rPr>
        <w:t>observations</w:t>
      </w:r>
      <w:r w:rsidR="006D5654">
        <w:rPr>
          <w:lang w:val="en-US"/>
        </w:rPr>
        <w:t xml:space="preserve"> </w:t>
      </w:r>
      <w:r w:rsidR="00377264">
        <w:rPr>
          <w:lang w:val="en-US"/>
        </w:rPr>
        <w:t>and have proposed possible enhancements to the existing mobility procedures.</w:t>
      </w:r>
    </w:p>
    <w:p w14:paraId="68759A0C" w14:textId="07BDCDDC" w:rsidR="009D3C44" w:rsidRPr="00910789" w:rsidRDefault="005410F0" w:rsidP="0023184A">
      <w:pPr>
        <w:pStyle w:val="Doc-text2"/>
        <w:spacing w:after="120"/>
        <w:ind w:left="0" w:firstLine="0"/>
        <w:jc w:val="both"/>
        <w:rPr>
          <w:lang w:val="x-none"/>
        </w:rPr>
      </w:pPr>
      <w:r>
        <w:rPr>
          <w:lang w:val="en-US"/>
        </w:rPr>
        <w:t>T</w:t>
      </w:r>
      <w:r w:rsidR="00ED5825">
        <w:rPr>
          <w:lang w:val="en-US"/>
        </w:rPr>
        <w:t>h</w:t>
      </w:r>
      <w:r w:rsidR="002B290E">
        <w:rPr>
          <w:lang w:val="en-US"/>
        </w:rPr>
        <w:t xml:space="preserve">is section </w:t>
      </w:r>
      <w:r>
        <w:rPr>
          <w:lang w:val="en-US"/>
        </w:rPr>
        <w:t>present</w:t>
      </w:r>
      <w:r w:rsidR="002B290E">
        <w:rPr>
          <w:lang w:val="en-US"/>
        </w:rPr>
        <w:t>s</w:t>
      </w:r>
      <w:r>
        <w:rPr>
          <w:lang w:val="en-US"/>
        </w:rPr>
        <w:t xml:space="preserve"> a</w:t>
      </w:r>
      <w:r w:rsidR="00910789">
        <w:rPr>
          <w:lang w:val="en-US"/>
        </w:rPr>
        <w:t xml:space="preserve"> survey </w:t>
      </w:r>
      <w:r w:rsidR="002B290E">
        <w:rPr>
          <w:lang w:val="en-US"/>
        </w:rPr>
        <w:t>aiming to identify a common</w:t>
      </w:r>
      <w:r w:rsidR="00ED5825">
        <w:rPr>
          <w:lang w:val="en-US"/>
        </w:rPr>
        <w:t xml:space="preserve"> understanding</w:t>
      </w:r>
      <w:r w:rsidR="002B290E">
        <w:rPr>
          <w:lang w:val="en-US"/>
        </w:rPr>
        <w:t xml:space="preserve"> that can serve as baseline for further discussions</w:t>
      </w:r>
      <w:r>
        <w:rPr>
          <w:lang w:val="en-US"/>
        </w:rPr>
        <w:t>.</w:t>
      </w:r>
      <w:r w:rsidR="000414BB">
        <w:rPr>
          <w:lang w:val="en-US"/>
        </w:rPr>
        <w:t xml:space="preserve"> </w:t>
      </w:r>
      <w:r>
        <w:rPr>
          <w:lang w:val="en-US"/>
        </w:rPr>
        <w:t>A</w:t>
      </w:r>
      <w:r w:rsidR="000414BB">
        <w:rPr>
          <w:lang w:val="en-US"/>
        </w:rPr>
        <w:t xml:space="preserve"> table </w:t>
      </w:r>
      <w:r>
        <w:rPr>
          <w:lang w:val="en-US"/>
        </w:rPr>
        <w:t xml:space="preserve">is </w:t>
      </w:r>
      <w:r w:rsidR="000414BB">
        <w:rPr>
          <w:lang w:val="en-US"/>
        </w:rPr>
        <w:t>provided in section 2.2 identifying the specific deployment scenarios that are affected by such challenges.</w:t>
      </w:r>
    </w:p>
    <w:p w14:paraId="7AEC77BB" w14:textId="1F93538F" w:rsidR="00020B87" w:rsidRDefault="00020B87" w:rsidP="00020B87">
      <w:pPr>
        <w:pStyle w:val="Heading2"/>
      </w:pPr>
      <w:r>
        <w:lastRenderedPageBreak/>
        <w:t xml:space="preserve">Mobility Challenges </w:t>
      </w:r>
      <w:r w:rsidR="007A2BE2">
        <w:t xml:space="preserve">to </w:t>
      </w:r>
      <w:r w:rsidR="002E685D">
        <w:t>Non-terrestrial networks</w:t>
      </w:r>
    </w:p>
    <w:p w14:paraId="00EBEDC9" w14:textId="7A5D8641" w:rsidR="00020B87" w:rsidRPr="00020B87" w:rsidRDefault="00020B87" w:rsidP="00A552EE">
      <w:pPr>
        <w:pStyle w:val="Heading3"/>
      </w:pPr>
      <w:r>
        <w:t xml:space="preserve">Latency </w:t>
      </w:r>
      <w:r w:rsidR="00A464DC">
        <w:t xml:space="preserve">associated with </w:t>
      </w:r>
      <w:r>
        <w:t>mobility signalling</w:t>
      </w:r>
      <w:r w:rsidR="00FE5CA4">
        <w:t xml:space="preserve"> </w:t>
      </w:r>
      <w:r w:rsidR="00FA6649">
        <w:t>[</w:t>
      </w:r>
      <w:r w:rsidR="00461629">
        <w:t>9</w:t>
      </w:r>
      <w:r w:rsidR="004E78B3">
        <w:t>, 14</w:t>
      </w:r>
      <w:r w:rsidR="00655B26">
        <w:t>, 17</w:t>
      </w:r>
      <w:r w:rsidR="00442050">
        <w:t>, 18</w:t>
      </w:r>
      <w:r w:rsidR="00FA6649">
        <w:t>]</w:t>
      </w:r>
    </w:p>
    <w:p w14:paraId="619A8C95" w14:textId="5657AAA7" w:rsidR="00034392" w:rsidRPr="00034392" w:rsidRDefault="00034392" w:rsidP="00034392">
      <w:pPr>
        <w:jc w:val="both"/>
        <w:rPr>
          <w:rFonts w:ascii="Arial" w:hAnsi="Arial" w:cs="Arial"/>
          <w:sz w:val="20"/>
          <w:lang w:val="en-GB" w:eastAsia="zh-CN"/>
        </w:rPr>
      </w:pPr>
      <w:r>
        <w:rPr>
          <w:rFonts w:ascii="Arial" w:hAnsi="Arial" w:cs="Arial"/>
          <w:sz w:val="20"/>
        </w:rPr>
        <w:t>As described in 38.300, for UEs in RRC_CONNECTED, NR cell level mobility is under network control and is triggered by explicit RRC signaling. For</w:t>
      </w:r>
      <w:r w:rsidR="008E5125">
        <w:rPr>
          <w:rFonts w:ascii="Arial" w:hAnsi="Arial" w:cs="Arial"/>
          <w:sz w:val="20"/>
        </w:rPr>
        <w:t xml:space="preserve"> </w:t>
      </w:r>
      <w:r>
        <w:rPr>
          <w:rFonts w:ascii="Arial" w:hAnsi="Arial" w:cs="Arial"/>
          <w:sz w:val="20"/>
        </w:rPr>
        <w:t>inter-gNB handover</w:t>
      </w:r>
      <w:r w:rsidR="00942021">
        <w:rPr>
          <w:rFonts w:ascii="Arial" w:hAnsi="Arial" w:cs="Arial"/>
          <w:sz w:val="20"/>
        </w:rPr>
        <w:t xml:space="preserve"> cell level mobility</w:t>
      </w:r>
      <w:r>
        <w:rPr>
          <w:rFonts w:ascii="Arial" w:hAnsi="Arial" w:cs="Arial"/>
          <w:sz w:val="20"/>
        </w:rPr>
        <w:t>, the signaling procedures consist of at leas</w:t>
      </w:r>
      <w:r w:rsidR="00483FBD">
        <w:rPr>
          <w:rFonts w:ascii="Arial" w:hAnsi="Arial" w:cs="Arial"/>
          <w:sz w:val="20"/>
        </w:rPr>
        <w:t>t</w:t>
      </w:r>
      <w:r>
        <w:rPr>
          <w:rFonts w:ascii="Arial" w:hAnsi="Arial" w:cs="Arial"/>
          <w:sz w:val="20"/>
        </w:rPr>
        <w:t xml:space="preserve"> the following elemental components:</w:t>
      </w:r>
    </w:p>
    <w:p w14:paraId="58D0A019" w14:textId="07CE7231" w:rsidR="00034392" w:rsidRPr="00520387" w:rsidRDefault="00034392" w:rsidP="00034392">
      <w:pPr>
        <w:jc w:val="center"/>
        <w:rPr>
          <w:lang w:val="en-GB" w:eastAsia="ja-JP"/>
        </w:rPr>
      </w:pPr>
      <w:r w:rsidRPr="00520387">
        <w:rPr>
          <w:noProof/>
          <w:lang w:val="en-GB"/>
        </w:rPr>
        <w:object w:dxaOrig="9360" w:dyaOrig="4140" w14:anchorId="76F60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5pt;height:151.15pt" o:ole="">
            <v:imagedata r:id="rId9" o:title=""/>
          </v:shape>
          <o:OLEObject Type="Embed" ProgID="Mscgen.Chart" ShapeID="_x0000_i1025" DrawAspect="Content" ObjectID="_1619532174" r:id="rId10"/>
        </w:object>
      </w:r>
    </w:p>
    <w:p w14:paraId="569ABFAA" w14:textId="77777777" w:rsidR="00034392" w:rsidRPr="00520387" w:rsidRDefault="00034392" w:rsidP="00034392">
      <w:pPr>
        <w:pStyle w:val="TF"/>
        <w:rPr>
          <w:lang w:val="en-GB"/>
        </w:rPr>
      </w:pPr>
      <w:r w:rsidRPr="00520387">
        <w:rPr>
          <w:lang w:val="en-GB"/>
        </w:rPr>
        <w:t>Figure 9.2.3.1-1: Inter-gNB handover procedures</w:t>
      </w:r>
    </w:p>
    <w:p w14:paraId="09B7BBC5" w14:textId="77777777" w:rsidR="00034392" w:rsidRPr="00520387" w:rsidRDefault="00034392" w:rsidP="00034392">
      <w:pPr>
        <w:pStyle w:val="B1"/>
      </w:pPr>
      <w:r w:rsidRPr="00520387">
        <w:t>1.</w:t>
      </w:r>
      <w:r w:rsidRPr="00520387">
        <w:tab/>
        <w:t xml:space="preserve">The source gNB initiates handover and issues a Handover Request over the </w:t>
      </w:r>
      <w:proofErr w:type="spellStart"/>
      <w:r w:rsidRPr="00520387">
        <w:t>Xn</w:t>
      </w:r>
      <w:proofErr w:type="spellEnd"/>
      <w:r w:rsidRPr="00520387">
        <w:t xml:space="preserve"> interface.</w:t>
      </w:r>
    </w:p>
    <w:p w14:paraId="68AB3454" w14:textId="77777777" w:rsidR="00034392" w:rsidRPr="00520387" w:rsidRDefault="00034392" w:rsidP="00034392">
      <w:pPr>
        <w:pStyle w:val="B1"/>
      </w:pPr>
      <w:r w:rsidRPr="00520387">
        <w:t>2.</w:t>
      </w:r>
      <w:r w:rsidRPr="00520387">
        <w:tab/>
        <w:t>The target gNB performs admission control and provides the RRC configuration as part of the Handover Acknowledgement.</w:t>
      </w:r>
    </w:p>
    <w:p w14:paraId="0B036A76" w14:textId="77777777" w:rsidR="00034392" w:rsidRPr="00520387" w:rsidRDefault="00034392" w:rsidP="00034392">
      <w:pPr>
        <w:pStyle w:val="B1"/>
      </w:pPr>
      <w:r w:rsidRPr="00520387">
        <w:t>3.</w:t>
      </w:r>
      <w:r w:rsidRPr="00520387">
        <w:tab/>
        <w:t>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1D17F295" w14:textId="77777777" w:rsidR="00034392" w:rsidRPr="00520387" w:rsidRDefault="00034392" w:rsidP="00034392">
      <w:pPr>
        <w:pStyle w:val="B1"/>
      </w:pPr>
      <w:r w:rsidRPr="00520387">
        <w:t>4.</w:t>
      </w:r>
      <w:r w:rsidRPr="00520387">
        <w:tab/>
        <w:t>The UE moves the RRC connection to the target gNB and replies the Handover Complete.</w:t>
      </w:r>
    </w:p>
    <w:p w14:paraId="2312C211" w14:textId="6256B5D1" w:rsidR="002259C0" w:rsidRDefault="00DD117F" w:rsidP="00020B87">
      <w:pPr>
        <w:jc w:val="both"/>
        <w:rPr>
          <w:rFonts w:ascii="Arial" w:hAnsi="Arial" w:cs="Arial"/>
          <w:sz w:val="20"/>
        </w:rPr>
      </w:pPr>
      <w:r>
        <w:rPr>
          <w:rFonts w:ascii="Arial" w:hAnsi="Arial" w:cs="Arial"/>
          <w:sz w:val="20"/>
        </w:rPr>
        <w:t>P</w:t>
      </w:r>
      <w:r w:rsidR="002E685D" w:rsidRPr="00445468">
        <w:rPr>
          <w:rFonts w:ascii="Arial" w:hAnsi="Arial" w:cs="Arial"/>
          <w:sz w:val="20"/>
        </w:rPr>
        <w:t xml:space="preserve">ropagation delay in NTN systems </w:t>
      </w:r>
      <w:r w:rsidR="002259C0">
        <w:rPr>
          <w:rFonts w:ascii="Arial" w:hAnsi="Arial" w:cs="Arial"/>
          <w:sz w:val="20"/>
        </w:rPr>
        <w:t xml:space="preserve">on the </w:t>
      </w:r>
      <w:proofErr w:type="spellStart"/>
      <w:r w:rsidR="002259C0">
        <w:rPr>
          <w:rFonts w:ascii="Arial" w:hAnsi="Arial" w:cs="Arial"/>
          <w:sz w:val="20"/>
        </w:rPr>
        <w:t>Uu</w:t>
      </w:r>
      <w:proofErr w:type="spellEnd"/>
      <w:r w:rsidR="002259C0">
        <w:rPr>
          <w:rFonts w:ascii="Arial" w:hAnsi="Arial" w:cs="Arial"/>
          <w:sz w:val="20"/>
        </w:rPr>
        <w:t xml:space="preserve"> interface </w:t>
      </w:r>
      <w:r w:rsidR="002E685D" w:rsidRPr="00445468">
        <w:rPr>
          <w:rFonts w:ascii="Arial" w:hAnsi="Arial" w:cs="Arial"/>
          <w:sz w:val="20"/>
        </w:rPr>
        <w:t>is orders of magnitude higher than terrestrial systems (e.g.</w:t>
      </w:r>
      <w:r>
        <w:rPr>
          <w:rFonts w:ascii="Arial" w:hAnsi="Arial" w:cs="Arial"/>
          <w:sz w:val="20"/>
        </w:rPr>
        <w:t xml:space="preserve"> up to</w:t>
      </w:r>
      <w:r w:rsidR="002E685D" w:rsidRPr="00445468">
        <w:rPr>
          <w:rFonts w:ascii="Arial" w:hAnsi="Arial" w:cs="Arial"/>
          <w:sz w:val="20"/>
        </w:rPr>
        <w:t xml:space="preserve"> 544 </w:t>
      </w:r>
      <w:proofErr w:type="spellStart"/>
      <w:r w:rsidR="002E685D" w:rsidRPr="00445468">
        <w:rPr>
          <w:rFonts w:ascii="Arial" w:hAnsi="Arial" w:cs="Arial"/>
          <w:sz w:val="20"/>
        </w:rPr>
        <w:t>ms</w:t>
      </w:r>
      <w:proofErr w:type="spellEnd"/>
      <w:r w:rsidR="002E685D" w:rsidRPr="00445468">
        <w:rPr>
          <w:rFonts w:ascii="Arial" w:hAnsi="Arial" w:cs="Arial"/>
          <w:sz w:val="20"/>
        </w:rPr>
        <w:t xml:space="preserve"> RTT for GEO scenarios, 28.4 </w:t>
      </w:r>
      <w:proofErr w:type="spellStart"/>
      <w:r w:rsidR="002E685D" w:rsidRPr="00445468">
        <w:rPr>
          <w:rFonts w:ascii="Arial" w:hAnsi="Arial" w:cs="Arial"/>
          <w:sz w:val="20"/>
        </w:rPr>
        <w:t>ms</w:t>
      </w:r>
      <w:proofErr w:type="spellEnd"/>
      <w:r w:rsidR="002E685D" w:rsidRPr="00445468">
        <w:rPr>
          <w:rFonts w:ascii="Arial" w:hAnsi="Arial" w:cs="Arial"/>
          <w:sz w:val="20"/>
        </w:rPr>
        <w:t xml:space="preserve"> RTT for LEO scenarios)</w:t>
      </w:r>
      <w:r w:rsidR="002E685D">
        <w:rPr>
          <w:rFonts w:ascii="Arial" w:hAnsi="Arial" w:cs="Arial"/>
          <w:sz w:val="20"/>
        </w:rPr>
        <w:t xml:space="preserve">. </w:t>
      </w:r>
      <w:r w:rsidR="007C2924" w:rsidRPr="00445468">
        <w:rPr>
          <w:rFonts w:ascii="Arial" w:hAnsi="Arial" w:cs="Arial"/>
          <w:sz w:val="20"/>
        </w:rPr>
        <w:t xml:space="preserve">This introduces additional latency to mobility </w:t>
      </w:r>
      <w:r w:rsidR="00483FBD" w:rsidRPr="00445468">
        <w:rPr>
          <w:rFonts w:ascii="Arial" w:hAnsi="Arial" w:cs="Arial"/>
          <w:sz w:val="20"/>
        </w:rPr>
        <w:t>signaling</w:t>
      </w:r>
      <w:r w:rsidR="007C2924" w:rsidRPr="00445468">
        <w:rPr>
          <w:rFonts w:ascii="Arial" w:hAnsi="Arial" w:cs="Arial"/>
          <w:sz w:val="20"/>
        </w:rPr>
        <w:t xml:space="preserve"> such as measurement reporting, reception of the HO command, and HO request/ACK (if the target cell originates from a different satellite). </w:t>
      </w:r>
      <w:r w:rsidR="00483FBD">
        <w:rPr>
          <w:rFonts w:ascii="Arial" w:hAnsi="Arial" w:cs="Arial"/>
          <w:sz w:val="20"/>
        </w:rPr>
        <w:t>Signaling</w:t>
      </w:r>
      <w:r w:rsidR="002259C0">
        <w:rPr>
          <w:rFonts w:ascii="Arial" w:hAnsi="Arial" w:cs="Arial"/>
          <w:sz w:val="20"/>
        </w:rPr>
        <w:t xml:space="preserve"> latency on the </w:t>
      </w:r>
      <w:proofErr w:type="spellStart"/>
      <w:r w:rsidR="002259C0">
        <w:rPr>
          <w:rFonts w:ascii="Arial" w:hAnsi="Arial" w:cs="Arial"/>
          <w:sz w:val="20"/>
        </w:rPr>
        <w:t>Xn</w:t>
      </w:r>
      <w:proofErr w:type="spellEnd"/>
      <w:r w:rsidR="002259C0">
        <w:rPr>
          <w:rFonts w:ascii="Arial" w:hAnsi="Arial" w:cs="Arial"/>
          <w:sz w:val="20"/>
        </w:rPr>
        <w:t xml:space="preserve"> interface is dependent on constellation assumptions and satellite configuration (i.e. transparent vs. regenerative</w:t>
      </w:r>
      <w:r w:rsidR="002B50AA">
        <w:rPr>
          <w:rFonts w:ascii="Arial" w:hAnsi="Arial" w:cs="Arial"/>
          <w:sz w:val="20"/>
        </w:rPr>
        <w:t>) and</w:t>
      </w:r>
      <w:r w:rsidR="002259C0">
        <w:rPr>
          <w:rFonts w:ascii="Arial" w:hAnsi="Arial" w:cs="Arial"/>
          <w:sz w:val="20"/>
        </w:rPr>
        <w:t xml:space="preserve"> may be </w:t>
      </w:r>
      <w:r w:rsidR="002B50AA">
        <w:rPr>
          <w:rFonts w:ascii="Arial" w:hAnsi="Arial" w:cs="Arial"/>
          <w:sz w:val="20"/>
        </w:rPr>
        <w:t xml:space="preserve">transmitted </w:t>
      </w:r>
      <w:r w:rsidR="002259C0">
        <w:rPr>
          <w:rFonts w:ascii="Arial" w:hAnsi="Arial" w:cs="Arial"/>
          <w:sz w:val="20"/>
        </w:rPr>
        <w:t xml:space="preserve">directly between </w:t>
      </w:r>
      <w:r w:rsidR="003A2C5A">
        <w:rPr>
          <w:rFonts w:ascii="Arial" w:hAnsi="Arial" w:cs="Arial"/>
          <w:sz w:val="20"/>
        </w:rPr>
        <w:t>satellites</w:t>
      </w:r>
      <w:r w:rsidR="002259C0">
        <w:rPr>
          <w:rFonts w:ascii="Arial" w:hAnsi="Arial" w:cs="Arial"/>
          <w:sz w:val="20"/>
        </w:rPr>
        <w:t xml:space="preserve"> via inter-satellite links (ISL) or via other means.</w:t>
      </w:r>
      <w:r w:rsidR="00A93A68">
        <w:rPr>
          <w:rFonts w:ascii="Arial" w:hAnsi="Arial" w:cs="Arial"/>
          <w:sz w:val="20"/>
        </w:rPr>
        <w:t xml:space="preserve"> An analysis</w:t>
      </w:r>
      <w:r w:rsidR="00D54DD6">
        <w:rPr>
          <w:rFonts w:ascii="Arial" w:hAnsi="Arial" w:cs="Arial"/>
          <w:sz w:val="20"/>
        </w:rPr>
        <w:t xml:space="preserve"> of service interruption time</w:t>
      </w:r>
      <w:r w:rsidR="002546A9">
        <w:rPr>
          <w:rFonts w:ascii="Arial" w:hAnsi="Arial" w:cs="Arial"/>
          <w:sz w:val="20"/>
        </w:rPr>
        <w:t xml:space="preserve"> [19]</w:t>
      </w:r>
      <w:r w:rsidR="00D54DD6">
        <w:rPr>
          <w:rFonts w:ascii="Arial" w:hAnsi="Arial" w:cs="Arial"/>
          <w:sz w:val="20"/>
        </w:rPr>
        <w:t xml:space="preserve"> and control plane latency [20]</w:t>
      </w:r>
      <w:r w:rsidR="00A93A68">
        <w:rPr>
          <w:rFonts w:ascii="Arial" w:hAnsi="Arial" w:cs="Arial"/>
          <w:sz w:val="20"/>
        </w:rPr>
        <w:t xml:space="preserve"> </w:t>
      </w:r>
      <w:r w:rsidR="002546A9">
        <w:rPr>
          <w:rFonts w:ascii="Arial" w:hAnsi="Arial" w:cs="Arial"/>
          <w:sz w:val="20"/>
        </w:rPr>
        <w:t xml:space="preserve">is provided </w:t>
      </w:r>
      <w:r w:rsidR="00A93A68">
        <w:rPr>
          <w:rFonts w:ascii="Arial" w:hAnsi="Arial" w:cs="Arial"/>
          <w:sz w:val="20"/>
        </w:rPr>
        <w:t>in the appendix.</w:t>
      </w:r>
    </w:p>
    <w:p w14:paraId="4D50BF87" w14:textId="70424C28" w:rsidR="002930BC" w:rsidRDefault="007C2924" w:rsidP="00DD117F">
      <w:pPr>
        <w:jc w:val="both"/>
        <w:rPr>
          <w:rFonts w:ascii="Arial" w:hAnsi="Arial" w:cs="Arial"/>
          <w:sz w:val="20"/>
        </w:rPr>
      </w:pPr>
      <w:r w:rsidRPr="00445468">
        <w:rPr>
          <w:rFonts w:ascii="Arial" w:hAnsi="Arial" w:cs="Arial"/>
          <w:sz w:val="20"/>
        </w:rPr>
        <w:t xml:space="preserve">The cumulative delay incurred by transmission of the above-listed signals can greatly increase the HO latency and introduce potential service interruptions. </w:t>
      </w:r>
      <w:r w:rsidR="00DD117F">
        <w:rPr>
          <w:rFonts w:ascii="Arial" w:hAnsi="Arial" w:cs="Arial"/>
          <w:sz w:val="20"/>
        </w:rPr>
        <w:t>Deployment scenarios most affected by such signaling latency are GEO (scenarios A and B), and non-GEO with a transparent configuration (</w:t>
      </w:r>
      <w:r w:rsidR="0019689F">
        <w:rPr>
          <w:rFonts w:ascii="Arial" w:hAnsi="Arial" w:cs="Arial"/>
          <w:sz w:val="20"/>
        </w:rPr>
        <w:t>scenarios C1 and C2).</w:t>
      </w:r>
      <w:r w:rsidR="00942021">
        <w:rPr>
          <w:rFonts w:ascii="Arial" w:hAnsi="Arial" w:cs="Arial"/>
          <w:sz w:val="20"/>
        </w:rPr>
        <w:t xml:space="preserve"> </w:t>
      </w:r>
      <w:r w:rsidR="00942021" w:rsidRPr="00034392">
        <w:rPr>
          <w:rFonts w:ascii="Arial" w:hAnsi="Arial" w:cs="Arial"/>
          <w:sz w:val="20"/>
          <w:lang w:val="en-GB" w:eastAsia="zh-CN"/>
        </w:rPr>
        <w:t>As observed in [</w:t>
      </w:r>
      <w:r w:rsidR="00942021">
        <w:rPr>
          <w:rFonts w:ascii="Arial" w:hAnsi="Arial" w:cs="Arial"/>
          <w:sz w:val="20"/>
          <w:lang w:val="en-GB" w:eastAsia="zh-CN"/>
        </w:rPr>
        <w:t>10</w:t>
      </w:r>
      <w:r w:rsidR="00942021" w:rsidRPr="00034392">
        <w:rPr>
          <w:rFonts w:ascii="Arial" w:hAnsi="Arial" w:cs="Arial"/>
          <w:sz w:val="20"/>
          <w:lang w:val="en-GB" w:eastAsia="zh-CN"/>
        </w:rPr>
        <w:t>]</w:t>
      </w:r>
      <w:r w:rsidR="00942021">
        <w:rPr>
          <w:rFonts w:ascii="Arial" w:hAnsi="Arial" w:cs="Arial"/>
          <w:sz w:val="20"/>
          <w:lang w:val="en-GB" w:eastAsia="zh-CN"/>
        </w:rPr>
        <w:t>, beam level mobility is under the purview of RAN1, thus only cell level mobility is considered from RAN2 perspective</w:t>
      </w:r>
      <w:r w:rsidR="00942021">
        <w:rPr>
          <w:rFonts w:ascii="Arial" w:hAnsi="Arial" w:cs="Arial"/>
          <w:sz w:val="20"/>
        </w:rPr>
        <w:t>.</w:t>
      </w:r>
    </w:p>
    <w:p w14:paraId="171085AD" w14:textId="15603D6F" w:rsidR="008314FC" w:rsidRDefault="008314FC" w:rsidP="0023184A">
      <w:pPr>
        <w:ind w:left="1560" w:hanging="1560"/>
        <w:jc w:val="both"/>
        <w:rPr>
          <w:rFonts w:ascii="Arial" w:hAnsi="Arial" w:cs="Arial"/>
          <w:i/>
          <w:sz w:val="20"/>
        </w:rPr>
      </w:pPr>
      <w:r w:rsidRPr="00445468">
        <w:rPr>
          <w:rFonts w:ascii="Arial" w:hAnsi="Arial" w:cs="Arial"/>
          <w:b/>
          <w:sz w:val="20"/>
          <w:szCs w:val="20"/>
          <w:u w:val="single"/>
        </w:rPr>
        <w:t xml:space="preserve">Observation </w:t>
      </w:r>
      <w:r>
        <w:rPr>
          <w:rFonts w:ascii="Arial" w:hAnsi="Arial" w:cs="Arial"/>
          <w:b/>
          <w:sz w:val="20"/>
          <w:szCs w:val="20"/>
          <w:u w:val="single"/>
        </w:rPr>
        <w:t>1</w:t>
      </w:r>
      <w:r w:rsidRPr="00445468">
        <w:rPr>
          <w:rFonts w:ascii="Arial" w:hAnsi="Arial" w:cs="Arial"/>
          <w:b/>
          <w:sz w:val="20"/>
          <w:szCs w:val="20"/>
          <w:u w:val="single"/>
        </w:rPr>
        <w:t>:</w:t>
      </w:r>
      <w:r w:rsidRPr="00445468">
        <w:rPr>
          <w:rFonts w:ascii="Arial" w:hAnsi="Arial" w:cs="Arial"/>
          <w:sz w:val="20"/>
          <w:szCs w:val="20"/>
        </w:rPr>
        <w:tab/>
      </w:r>
      <w:r w:rsidR="00910B6B">
        <w:rPr>
          <w:rFonts w:ascii="Arial" w:hAnsi="Arial" w:cs="Arial"/>
          <w:i/>
          <w:sz w:val="20"/>
        </w:rPr>
        <w:t>Due to</w:t>
      </w:r>
      <w:r w:rsidR="0031319D">
        <w:rPr>
          <w:rFonts w:ascii="Arial" w:hAnsi="Arial" w:cs="Arial"/>
          <w:i/>
          <w:sz w:val="20"/>
        </w:rPr>
        <w:t xml:space="preserve"> large</w:t>
      </w:r>
      <w:r w:rsidR="00910B6B">
        <w:rPr>
          <w:rFonts w:ascii="Arial" w:hAnsi="Arial" w:cs="Arial"/>
          <w:i/>
          <w:sz w:val="20"/>
        </w:rPr>
        <w:t xml:space="preserve"> propagation delay in NTN, the</w:t>
      </w:r>
      <w:r w:rsidR="00910B6B" w:rsidRPr="00910B6B">
        <w:rPr>
          <w:rFonts w:ascii="Arial" w:hAnsi="Arial" w:cs="Arial"/>
          <w:i/>
          <w:sz w:val="20"/>
        </w:rPr>
        <w:t xml:space="preserve"> cumulative delay incurred by transmission of mobility signaling can greatly increase the HO latency</w:t>
      </w:r>
      <w:r w:rsidR="004E07EE">
        <w:rPr>
          <w:rFonts w:ascii="Arial" w:hAnsi="Arial" w:cs="Arial"/>
          <w:i/>
          <w:sz w:val="20"/>
        </w:rPr>
        <w:t>,</w:t>
      </w:r>
      <w:r w:rsidR="00910B6B" w:rsidRPr="00910B6B">
        <w:rPr>
          <w:rFonts w:ascii="Arial" w:hAnsi="Arial" w:cs="Arial"/>
          <w:i/>
          <w:sz w:val="20"/>
        </w:rPr>
        <w:t xml:space="preserve"> </w:t>
      </w:r>
      <w:r w:rsidR="007503CC">
        <w:rPr>
          <w:rFonts w:ascii="Arial" w:hAnsi="Arial" w:cs="Arial"/>
          <w:i/>
          <w:sz w:val="20"/>
        </w:rPr>
        <w:t>lead</w:t>
      </w:r>
      <w:r w:rsidR="004E07EE">
        <w:rPr>
          <w:rFonts w:ascii="Arial" w:hAnsi="Arial" w:cs="Arial"/>
          <w:i/>
          <w:sz w:val="20"/>
        </w:rPr>
        <w:t>ing</w:t>
      </w:r>
      <w:r w:rsidR="007503CC">
        <w:rPr>
          <w:rFonts w:ascii="Arial" w:hAnsi="Arial" w:cs="Arial"/>
          <w:i/>
          <w:sz w:val="20"/>
        </w:rPr>
        <w:t xml:space="preserve"> to </w:t>
      </w:r>
      <w:r w:rsidR="00910B6B" w:rsidRPr="00910B6B">
        <w:rPr>
          <w:rFonts w:ascii="Arial" w:hAnsi="Arial" w:cs="Arial"/>
          <w:i/>
          <w:sz w:val="20"/>
        </w:rPr>
        <w:t>service interruptions.</w:t>
      </w:r>
    </w:p>
    <w:p w14:paraId="2829EEB9" w14:textId="7C62CD56" w:rsidR="00483FBD" w:rsidRPr="002E685D" w:rsidRDefault="00483FBD" w:rsidP="00483FBD">
      <w:pPr>
        <w:ind w:left="1560" w:hanging="1560"/>
        <w:jc w:val="both"/>
        <w:rPr>
          <w:rFonts w:ascii="Arial" w:hAnsi="Arial" w:cs="Arial"/>
          <w:sz w:val="20"/>
        </w:rPr>
      </w:pPr>
      <w:r w:rsidRPr="00445468">
        <w:rPr>
          <w:rFonts w:ascii="Arial" w:hAnsi="Arial" w:cs="Arial"/>
          <w:b/>
          <w:sz w:val="20"/>
          <w:szCs w:val="20"/>
          <w:u w:val="single"/>
        </w:rPr>
        <w:t xml:space="preserve">Observation </w:t>
      </w:r>
      <w:r>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Only cell level mobility is considered from RAN2 perspective</w:t>
      </w:r>
      <w:r w:rsidRPr="00910B6B">
        <w:rPr>
          <w:rFonts w:ascii="Arial" w:hAnsi="Arial" w:cs="Arial"/>
          <w:i/>
          <w:sz w:val="20"/>
        </w:rPr>
        <w:t>.</w:t>
      </w:r>
    </w:p>
    <w:p w14:paraId="28217FA0" w14:textId="77777777" w:rsidR="00483FBD" w:rsidRPr="002E685D" w:rsidRDefault="00483FBD" w:rsidP="0023184A">
      <w:pPr>
        <w:ind w:left="1560" w:hanging="1560"/>
        <w:jc w:val="both"/>
        <w:rPr>
          <w:rFonts w:ascii="Arial" w:hAnsi="Arial" w:cs="Arial"/>
          <w:sz w:val="20"/>
        </w:rPr>
      </w:pPr>
    </w:p>
    <w:p w14:paraId="24B0FF7F" w14:textId="73079CD9" w:rsidR="00020B87" w:rsidRDefault="000940E5" w:rsidP="00020B87">
      <w:pPr>
        <w:pStyle w:val="Heading3"/>
      </w:pPr>
      <w:r>
        <w:t>M</w:t>
      </w:r>
      <w:r w:rsidR="00020B87">
        <w:t>easurement</w:t>
      </w:r>
      <w:r w:rsidR="00723652">
        <w:t xml:space="preserve"> </w:t>
      </w:r>
      <w:r w:rsidR="007A2BE2">
        <w:t>v</w:t>
      </w:r>
      <w:r w:rsidR="00723652">
        <w:t>alidity</w:t>
      </w:r>
      <w:r w:rsidR="007A2BE2">
        <w:t xml:space="preserve"> </w:t>
      </w:r>
      <w:r w:rsidR="00FA6649">
        <w:t>[</w:t>
      </w:r>
      <w:r w:rsidR="00625BE8">
        <w:t>5</w:t>
      </w:r>
      <w:r w:rsidR="00442050">
        <w:t>, 18</w:t>
      </w:r>
      <w:r w:rsidR="00FA6649">
        <w:t>]</w:t>
      </w:r>
    </w:p>
    <w:p w14:paraId="52FB1346" w14:textId="16D7AE69" w:rsidR="0063592F" w:rsidRDefault="00FF5E8F" w:rsidP="008B113D">
      <w:pPr>
        <w:jc w:val="both"/>
        <w:rPr>
          <w:rFonts w:ascii="Arial" w:hAnsi="Arial" w:cs="Arial"/>
          <w:sz w:val="20"/>
          <w:szCs w:val="20"/>
        </w:rPr>
      </w:pPr>
      <w:r>
        <w:rPr>
          <w:rFonts w:ascii="Arial" w:hAnsi="Arial" w:cs="Arial"/>
          <w:sz w:val="20"/>
          <w:szCs w:val="20"/>
        </w:rPr>
        <w:t>I</w:t>
      </w:r>
      <w:r w:rsidR="003A3345" w:rsidRPr="008B113D">
        <w:rPr>
          <w:rFonts w:ascii="Arial" w:hAnsi="Arial" w:cs="Arial"/>
          <w:sz w:val="20"/>
          <w:szCs w:val="20"/>
        </w:rPr>
        <w:t>n RRC_CONNECTED</w:t>
      </w:r>
      <w:r w:rsidR="008E5125">
        <w:rPr>
          <w:rFonts w:ascii="Arial" w:hAnsi="Arial" w:cs="Arial"/>
          <w:sz w:val="20"/>
          <w:szCs w:val="20"/>
        </w:rPr>
        <w:t xml:space="preserve"> [38.300]</w:t>
      </w:r>
      <w:r w:rsidR="008B113D" w:rsidRPr="008B113D">
        <w:rPr>
          <w:rFonts w:ascii="Arial" w:hAnsi="Arial" w:cs="Arial"/>
          <w:sz w:val="20"/>
          <w:szCs w:val="20"/>
        </w:rPr>
        <w:t>, the UE measures</w:t>
      </w:r>
      <w:r w:rsidR="008B113D">
        <w:rPr>
          <w:rFonts w:ascii="Arial" w:hAnsi="Arial" w:cs="Arial"/>
          <w:sz w:val="20"/>
          <w:szCs w:val="20"/>
        </w:rPr>
        <w:t xml:space="preserve"> at least one beam of a cell, with measurement results (power values) averaged to derive the cell quality. Such filtering takes place at two levels, the physical layer to derive beam quality and at RRC level to derive the cell quality. </w:t>
      </w:r>
      <w:r w:rsidR="0062053B">
        <w:rPr>
          <w:rFonts w:ascii="Arial" w:hAnsi="Arial" w:cs="Arial"/>
          <w:sz w:val="20"/>
          <w:szCs w:val="20"/>
        </w:rPr>
        <w:t>Such layer 3 cell quality measurements (i.e. RSRP and RSRQ) are derived in the same way for the serving and candidate cells, with reporting of measurements being configured by the network.</w:t>
      </w:r>
    </w:p>
    <w:p w14:paraId="0949A60D" w14:textId="0F66FE5E" w:rsidR="008B113D" w:rsidRPr="008B113D" w:rsidRDefault="003273C0" w:rsidP="008B113D">
      <w:pPr>
        <w:jc w:val="both"/>
        <w:rPr>
          <w:rFonts w:ascii="Arial" w:hAnsi="Arial" w:cs="Arial"/>
          <w:sz w:val="20"/>
          <w:szCs w:val="20"/>
        </w:rPr>
      </w:pPr>
      <w:r w:rsidRPr="00445468">
        <w:rPr>
          <w:rFonts w:ascii="Arial" w:hAnsi="Arial" w:cs="Arial"/>
          <w:sz w:val="20"/>
        </w:rPr>
        <w:t xml:space="preserve">Baseline mobility procedures in Rel-15 NR leverage </w:t>
      </w:r>
      <w:r w:rsidR="0062053B">
        <w:rPr>
          <w:rFonts w:ascii="Arial" w:hAnsi="Arial" w:cs="Arial"/>
          <w:sz w:val="20"/>
        </w:rPr>
        <w:t xml:space="preserve">such </w:t>
      </w:r>
      <w:r w:rsidRPr="00445468">
        <w:rPr>
          <w:rFonts w:ascii="Arial" w:hAnsi="Arial" w:cs="Arial"/>
          <w:sz w:val="20"/>
        </w:rPr>
        <w:t xml:space="preserve">UE measurement reports, transmitted periodically, or triggered based on measurement events such as the RSRP/RSRQ of a </w:t>
      </w:r>
      <w:r w:rsidR="004E07EE" w:rsidRPr="00445468">
        <w:rPr>
          <w:rFonts w:ascii="Arial" w:hAnsi="Arial" w:cs="Arial"/>
          <w:sz w:val="20"/>
        </w:rPr>
        <w:t>neighboring</w:t>
      </w:r>
      <w:r w:rsidRPr="00445468">
        <w:rPr>
          <w:rFonts w:ascii="Arial" w:hAnsi="Arial" w:cs="Arial"/>
          <w:sz w:val="20"/>
        </w:rPr>
        <w:t xml:space="preserve"> cell becoming better than the serving cell</w:t>
      </w:r>
      <w:r w:rsidR="00A243F0">
        <w:rPr>
          <w:rFonts w:ascii="Arial" w:hAnsi="Arial" w:cs="Arial"/>
          <w:sz w:val="20"/>
        </w:rPr>
        <w:t xml:space="preserve"> (i.e. the A3 measurement event)</w:t>
      </w:r>
      <w:r w:rsidRPr="00445468">
        <w:rPr>
          <w:rFonts w:ascii="Arial" w:hAnsi="Arial" w:cs="Arial"/>
          <w:sz w:val="20"/>
        </w:rPr>
        <w:t xml:space="preserve">. </w:t>
      </w:r>
      <w:r w:rsidR="004E07EE">
        <w:rPr>
          <w:rFonts w:ascii="Arial" w:hAnsi="Arial" w:cs="Arial"/>
          <w:sz w:val="20"/>
        </w:rPr>
        <w:t>T</w:t>
      </w:r>
      <w:r w:rsidR="008B113D" w:rsidRPr="00445468">
        <w:rPr>
          <w:rFonts w:ascii="Arial" w:hAnsi="Arial" w:cs="Arial"/>
          <w:sz w:val="20"/>
        </w:rPr>
        <w:t xml:space="preserve">he UE may </w:t>
      </w:r>
      <w:r w:rsidR="004E07EE">
        <w:rPr>
          <w:rFonts w:ascii="Arial" w:hAnsi="Arial" w:cs="Arial"/>
          <w:sz w:val="20"/>
        </w:rPr>
        <w:t xml:space="preserve">then </w:t>
      </w:r>
      <w:r w:rsidR="008B113D" w:rsidRPr="00445468">
        <w:rPr>
          <w:rFonts w:ascii="Arial" w:hAnsi="Arial" w:cs="Arial"/>
          <w:sz w:val="20"/>
        </w:rPr>
        <w:t>be handed over to a target cell via reception of a HO command</w:t>
      </w:r>
      <w:r w:rsidR="004E07EE">
        <w:rPr>
          <w:rFonts w:ascii="Arial" w:hAnsi="Arial" w:cs="Arial"/>
          <w:sz w:val="20"/>
        </w:rPr>
        <w:t xml:space="preserve"> from the NW</w:t>
      </w:r>
      <w:r w:rsidR="008B113D" w:rsidRPr="00445468">
        <w:rPr>
          <w:rFonts w:ascii="Arial" w:hAnsi="Arial" w:cs="Arial"/>
          <w:sz w:val="20"/>
        </w:rPr>
        <w:t>, which contains the target cell configuration.</w:t>
      </w:r>
    </w:p>
    <w:p w14:paraId="360D2444" w14:textId="77777777" w:rsidR="0023184A" w:rsidRDefault="00441072" w:rsidP="00AA431A">
      <w:pPr>
        <w:jc w:val="both"/>
        <w:rPr>
          <w:rFonts w:ascii="Arial" w:hAnsi="Arial" w:cs="Arial"/>
          <w:sz w:val="20"/>
        </w:rPr>
      </w:pPr>
      <w:r>
        <w:rPr>
          <w:rFonts w:ascii="Arial" w:hAnsi="Arial" w:cs="Arial"/>
          <w:sz w:val="20"/>
        </w:rPr>
        <w:t>E</w:t>
      </w:r>
      <w:r w:rsidR="00AA431A">
        <w:rPr>
          <w:rFonts w:ascii="Arial" w:hAnsi="Arial" w:cs="Arial"/>
          <w:sz w:val="20"/>
        </w:rPr>
        <w:t xml:space="preserve">xtending such </w:t>
      </w:r>
      <w:r w:rsidR="003B1408">
        <w:rPr>
          <w:rFonts w:ascii="Arial" w:hAnsi="Arial" w:cs="Arial"/>
          <w:sz w:val="20"/>
        </w:rPr>
        <w:t>mechanisms</w:t>
      </w:r>
      <w:r w:rsidR="00AA431A">
        <w:rPr>
          <w:rFonts w:ascii="Arial" w:hAnsi="Arial" w:cs="Arial"/>
          <w:sz w:val="20"/>
        </w:rPr>
        <w:t xml:space="preserve"> to NTN introduces the risk of o</w:t>
      </w:r>
      <w:r w:rsidR="008B113D">
        <w:rPr>
          <w:rFonts w:ascii="Arial" w:hAnsi="Arial" w:cs="Arial"/>
          <w:sz w:val="20"/>
        </w:rPr>
        <w:t xml:space="preserve">utdated measurements due to </w:t>
      </w:r>
      <w:r w:rsidR="00AA431A">
        <w:rPr>
          <w:rFonts w:ascii="Arial" w:hAnsi="Arial" w:cs="Arial"/>
          <w:sz w:val="20"/>
        </w:rPr>
        <w:t xml:space="preserve">high </w:t>
      </w:r>
      <w:r w:rsidR="008B113D">
        <w:rPr>
          <w:rFonts w:ascii="Arial" w:hAnsi="Arial" w:cs="Arial"/>
          <w:sz w:val="20"/>
        </w:rPr>
        <w:t>propagation delay</w:t>
      </w:r>
      <w:r w:rsidR="00540625">
        <w:rPr>
          <w:rFonts w:ascii="Arial" w:hAnsi="Arial" w:cs="Arial"/>
          <w:sz w:val="20"/>
        </w:rPr>
        <w:t xml:space="preserve"> and network node movement</w:t>
      </w:r>
      <w:r w:rsidR="00AA431A">
        <w:rPr>
          <w:rFonts w:ascii="Arial" w:hAnsi="Arial" w:cs="Arial"/>
          <w:sz w:val="20"/>
        </w:rPr>
        <w:t xml:space="preserve">. </w:t>
      </w:r>
      <w:r w:rsidR="00020B87">
        <w:rPr>
          <w:rFonts w:ascii="Arial" w:hAnsi="Arial" w:cs="Arial"/>
          <w:sz w:val="20"/>
        </w:rPr>
        <w:t>I</w:t>
      </w:r>
      <w:r w:rsidR="007C2924" w:rsidRPr="00445468">
        <w:rPr>
          <w:rFonts w:ascii="Arial" w:hAnsi="Arial" w:cs="Arial"/>
          <w:sz w:val="20"/>
        </w:rPr>
        <w:t xml:space="preserve">f there is sufficient delay between transmission of the measurement report and reception of the HO command, the measurements may no longer be valid, possibly leading to </w:t>
      </w:r>
      <w:r w:rsidR="0023184A">
        <w:rPr>
          <w:rFonts w:ascii="Arial" w:hAnsi="Arial" w:cs="Arial"/>
          <w:sz w:val="20"/>
        </w:rPr>
        <w:t>an</w:t>
      </w:r>
      <w:r w:rsidR="007C2924" w:rsidRPr="00445468">
        <w:rPr>
          <w:rFonts w:ascii="Arial" w:hAnsi="Arial" w:cs="Arial"/>
          <w:sz w:val="20"/>
        </w:rPr>
        <w:t xml:space="preserve"> incorrect mobility action</w:t>
      </w:r>
      <w:r w:rsidR="0023184A">
        <w:rPr>
          <w:rFonts w:ascii="Arial" w:hAnsi="Arial" w:cs="Arial"/>
          <w:sz w:val="20"/>
        </w:rPr>
        <w:t xml:space="preserve"> e.g. early/late handover.</w:t>
      </w:r>
      <w:r w:rsidR="00AA431A">
        <w:rPr>
          <w:rFonts w:ascii="Arial" w:hAnsi="Arial" w:cs="Arial"/>
          <w:sz w:val="20"/>
        </w:rPr>
        <w:t xml:space="preserve"> </w:t>
      </w:r>
    </w:p>
    <w:p w14:paraId="1FE6B917" w14:textId="43FA8B92" w:rsidR="008E0218" w:rsidRPr="00FE5CA4" w:rsidRDefault="0023184A" w:rsidP="00AA431A">
      <w:pPr>
        <w:jc w:val="both"/>
        <w:rPr>
          <w:rFonts w:ascii="Arial" w:hAnsi="Arial" w:cs="Arial"/>
          <w:sz w:val="20"/>
          <w:lang w:val="en-GB" w:eastAsia="zh-CN"/>
        </w:rPr>
      </w:pPr>
      <w:r>
        <w:rPr>
          <w:rFonts w:ascii="Arial" w:hAnsi="Arial" w:cs="Arial"/>
          <w:sz w:val="20"/>
        </w:rPr>
        <w:t xml:space="preserve">Should handover be performed too early, there is a risk the UE will ping pong back to the original cell, and should it occur too late the UE will be camped on a sub-optimal </w:t>
      </w:r>
      <w:r w:rsidR="00A52BC7">
        <w:rPr>
          <w:rFonts w:ascii="Arial" w:hAnsi="Arial" w:cs="Arial"/>
          <w:sz w:val="20"/>
        </w:rPr>
        <w:t>cell</w:t>
      </w:r>
      <w:r>
        <w:rPr>
          <w:rFonts w:ascii="Arial" w:hAnsi="Arial" w:cs="Arial"/>
          <w:sz w:val="20"/>
        </w:rPr>
        <w:t>. Both cases will lead to an</w:t>
      </w:r>
      <w:r w:rsidR="00AA431A">
        <w:rPr>
          <w:rFonts w:ascii="Arial" w:hAnsi="Arial" w:cs="Arial"/>
          <w:sz w:val="20"/>
        </w:rPr>
        <w:t xml:space="preserve"> overall reduction in handover robustness</w:t>
      </w:r>
      <w:r>
        <w:rPr>
          <w:rFonts w:ascii="Arial" w:hAnsi="Arial" w:cs="Arial"/>
          <w:sz w:val="20"/>
        </w:rPr>
        <w:t>, and possible service interruption due to mobility signaling latency as described in the previous section</w:t>
      </w:r>
      <w:r w:rsidR="00AA431A">
        <w:rPr>
          <w:rFonts w:ascii="Arial" w:hAnsi="Arial" w:cs="Arial"/>
          <w:sz w:val="20"/>
        </w:rPr>
        <w:t>.</w:t>
      </w:r>
    </w:p>
    <w:p w14:paraId="57631D28" w14:textId="0654DA9D" w:rsidR="004E07EE" w:rsidRPr="00445468" w:rsidRDefault="004E07EE" w:rsidP="004E07EE">
      <w:pPr>
        <w:ind w:left="1560" w:hanging="1560"/>
        <w:jc w:val="both"/>
        <w:rPr>
          <w:rFonts w:ascii="Arial" w:hAnsi="Arial" w:cs="Arial"/>
          <w:i/>
          <w:sz w:val="20"/>
          <w:szCs w:val="20"/>
        </w:rPr>
      </w:pPr>
      <w:r w:rsidRPr="009021C8">
        <w:rPr>
          <w:rFonts w:ascii="Arial" w:hAnsi="Arial" w:cs="Arial"/>
          <w:b/>
          <w:sz w:val="20"/>
          <w:szCs w:val="20"/>
          <w:u w:val="single"/>
        </w:rPr>
        <w:t xml:space="preserve">Observation </w:t>
      </w:r>
      <w:r w:rsidR="00483FBD">
        <w:rPr>
          <w:rFonts w:ascii="Arial" w:hAnsi="Arial" w:cs="Arial"/>
          <w:b/>
          <w:sz w:val="20"/>
          <w:szCs w:val="20"/>
          <w:u w:val="single"/>
        </w:rPr>
        <w:t>3</w:t>
      </w:r>
      <w:r w:rsidRPr="009021C8">
        <w:rPr>
          <w:rFonts w:ascii="Arial" w:hAnsi="Arial" w:cs="Arial"/>
          <w:b/>
          <w:sz w:val="20"/>
          <w:szCs w:val="20"/>
          <w:u w:val="single"/>
        </w:rPr>
        <w:t>:</w:t>
      </w:r>
      <w:r w:rsidRPr="009021C8">
        <w:rPr>
          <w:rFonts w:ascii="Arial" w:hAnsi="Arial" w:cs="Arial"/>
          <w:sz w:val="20"/>
          <w:szCs w:val="20"/>
        </w:rPr>
        <w:tab/>
      </w:r>
      <w:r w:rsidR="008F6FE7" w:rsidRPr="008F6FE7">
        <w:rPr>
          <w:rFonts w:ascii="Arial" w:hAnsi="Arial" w:cs="Arial"/>
          <w:i/>
          <w:sz w:val="20"/>
        </w:rPr>
        <w:t>Due to propagation delay and satellite movement, measurements triggering a</w:t>
      </w:r>
      <w:r w:rsidR="008F6FE7">
        <w:rPr>
          <w:rFonts w:ascii="Arial" w:hAnsi="Arial" w:cs="Arial"/>
          <w:i/>
          <w:sz w:val="20"/>
        </w:rPr>
        <w:t>n</w:t>
      </w:r>
      <w:r w:rsidR="008F6FE7" w:rsidRPr="008F6FE7">
        <w:rPr>
          <w:rFonts w:ascii="Arial" w:hAnsi="Arial" w:cs="Arial"/>
          <w:i/>
          <w:sz w:val="20"/>
        </w:rPr>
        <w:t xml:space="preserve"> A3 event may no longer be valid, possibly leading to an incorrect mobility action e.g. early/late handover </w:t>
      </w:r>
      <w:r w:rsidR="009021C8" w:rsidRPr="008F6FE7">
        <w:rPr>
          <w:rFonts w:ascii="Arial" w:hAnsi="Arial" w:cs="Arial"/>
          <w:i/>
          <w:sz w:val="20"/>
        </w:rPr>
        <w:t>and an overall reduction in handover robustness.</w:t>
      </w:r>
    </w:p>
    <w:p w14:paraId="28C0D1B3" w14:textId="28C7C252" w:rsidR="009C6B26" w:rsidRDefault="006333E7" w:rsidP="009C6B26">
      <w:pPr>
        <w:pStyle w:val="Heading3"/>
      </w:pPr>
      <w:r>
        <w:t>Cell overlap and near-far effect in NTN</w:t>
      </w:r>
      <w:r w:rsidR="009C6B26">
        <w:t xml:space="preserve"> [</w:t>
      </w:r>
      <w:r w:rsidR="00461629">
        <w:t>11</w:t>
      </w:r>
      <w:r w:rsidR="00E50143">
        <w:t>-13</w:t>
      </w:r>
      <w:r w:rsidR="009C6B26">
        <w:t>]</w:t>
      </w:r>
    </w:p>
    <w:p w14:paraId="15DF9C77" w14:textId="3150ECD1" w:rsidR="003E52CD" w:rsidRDefault="00017B82" w:rsidP="00F354C0">
      <w:pPr>
        <w:jc w:val="both"/>
        <w:rPr>
          <w:rFonts w:ascii="Arial" w:hAnsi="Arial" w:cs="Arial"/>
          <w:sz w:val="20"/>
        </w:rPr>
      </w:pPr>
      <w:r>
        <w:rPr>
          <w:rFonts w:ascii="Arial" w:hAnsi="Arial" w:cs="Arial"/>
          <w:sz w:val="20"/>
        </w:rPr>
        <w:t>T</w:t>
      </w:r>
      <w:r w:rsidR="00416555">
        <w:rPr>
          <w:rFonts w:ascii="Arial" w:hAnsi="Arial" w:cs="Arial"/>
          <w:sz w:val="20"/>
        </w:rPr>
        <w:t>he total footprint of satellite coverage consists of multiple spot beams with typical diameters ranging from 200-1000 km in GEO deployments (scenarios A and B), and 100-500 km in LEO deployments (scenarios C1 to D2). T</w:t>
      </w:r>
      <w:r>
        <w:rPr>
          <w:rFonts w:ascii="Arial" w:hAnsi="Arial" w:cs="Arial"/>
          <w:sz w:val="20"/>
        </w:rPr>
        <w:t>hough estimated as</w:t>
      </w:r>
      <w:r w:rsidR="00416555">
        <w:rPr>
          <w:rFonts w:ascii="Arial" w:hAnsi="Arial" w:cs="Arial"/>
          <w:sz w:val="20"/>
        </w:rPr>
        <w:t xml:space="preserve"> hexagonal</w:t>
      </w:r>
      <w:r w:rsidR="005700EF">
        <w:rPr>
          <w:rFonts w:ascii="Arial" w:hAnsi="Arial" w:cs="Arial"/>
          <w:sz w:val="20"/>
        </w:rPr>
        <w:t xml:space="preserve"> and mutually exclusive</w:t>
      </w:r>
      <w:r w:rsidR="00416555">
        <w:rPr>
          <w:rFonts w:ascii="Arial" w:hAnsi="Arial" w:cs="Arial"/>
          <w:sz w:val="20"/>
        </w:rPr>
        <w:t xml:space="preserve">, in practical deployments there are areas of </w:t>
      </w:r>
      <w:r w:rsidR="002B6B8E">
        <w:rPr>
          <w:rFonts w:ascii="Arial" w:hAnsi="Arial" w:cs="Arial"/>
          <w:sz w:val="20"/>
        </w:rPr>
        <w:t>overlap</w:t>
      </w:r>
      <w:r w:rsidR="00416555">
        <w:rPr>
          <w:rFonts w:ascii="Arial" w:hAnsi="Arial" w:cs="Arial"/>
          <w:sz w:val="20"/>
        </w:rPr>
        <w:t xml:space="preserve"> </w:t>
      </w:r>
      <w:r w:rsidR="002B6B8E">
        <w:rPr>
          <w:rFonts w:ascii="Arial" w:hAnsi="Arial" w:cs="Arial"/>
          <w:sz w:val="20"/>
        </w:rPr>
        <w:t xml:space="preserve">at the beam edge </w:t>
      </w:r>
      <w:r w:rsidR="00416555">
        <w:rPr>
          <w:rFonts w:ascii="Arial" w:hAnsi="Arial" w:cs="Arial"/>
          <w:sz w:val="20"/>
        </w:rPr>
        <w:t>which can be significant when compared to the terrestrial case.</w:t>
      </w:r>
      <w:r w:rsidR="00F354C0" w:rsidRPr="007A2BE2">
        <w:rPr>
          <w:rFonts w:ascii="Arial" w:hAnsi="Arial" w:cs="Arial"/>
          <w:sz w:val="20"/>
        </w:rPr>
        <w:t xml:space="preserve"> </w:t>
      </w:r>
    </w:p>
    <w:p w14:paraId="04D4F3FC" w14:textId="6ABA8414" w:rsidR="0041784F" w:rsidRDefault="002B6B8E" w:rsidP="00F354C0">
      <w:pPr>
        <w:jc w:val="both"/>
        <w:rPr>
          <w:rFonts w:ascii="Arial" w:hAnsi="Arial" w:cs="Arial"/>
          <w:sz w:val="20"/>
        </w:rPr>
      </w:pPr>
      <w:r>
        <w:rPr>
          <w:rFonts w:ascii="Arial" w:hAnsi="Arial" w:cs="Arial"/>
          <w:sz w:val="20"/>
        </w:rPr>
        <w:t>In terrestrial systems, a UE can determine it is near the edge of a cell due to the near-far effect</w:t>
      </w:r>
      <w:r w:rsidR="0041784F">
        <w:rPr>
          <w:rFonts w:ascii="Arial" w:hAnsi="Arial" w:cs="Arial"/>
          <w:sz w:val="20"/>
        </w:rPr>
        <w:t xml:space="preserve"> – a clear difference in RSRP in the center of a cell as compared to cell edge.</w:t>
      </w:r>
      <w:r w:rsidR="006312CC">
        <w:rPr>
          <w:rFonts w:ascii="Arial" w:hAnsi="Arial" w:cs="Arial"/>
          <w:sz w:val="20"/>
        </w:rPr>
        <w:t xml:space="preserve"> </w:t>
      </w:r>
      <w:r w:rsidR="00C95E98">
        <w:rPr>
          <w:rFonts w:ascii="Arial" w:hAnsi="Arial" w:cs="Arial"/>
          <w:sz w:val="20"/>
        </w:rPr>
        <w:t>As shown in [</w:t>
      </w:r>
      <w:r w:rsidR="008A10C5">
        <w:rPr>
          <w:rFonts w:ascii="Arial" w:hAnsi="Arial" w:cs="Arial"/>
          <w:sz w:val="20"/>
        </w:rPr>
        <w:t>1</w:t>
      </w:r>
      <w:r w:rsidR="00461022">
        <w:rPr>
          <w:rFonts w:ascii="Arial" w:hAnsi="Arial" w:cs="Arial"/>
          <w:sz w:val="20"/>
        </w:rPr>
        <w:t>1</w:t>
      </w:r>
      <w:r w:rsidR="00C95E98" w:rsidRPr="00772DCD">
        <w:rPr>
          <w:rFonts w:ascii="Arial" w:hAnsi="Arial" w:cs="Arial"/>
          <w:sz w:val="20"/>
        </w:rPr>
        <w:t>]</w:t>
      </w:r>
      <w:r w:rsidR="007D503F" w:rsidRPr="00772DCD">
        <w:rPr>
          <w:rFonts w:ascii="Arial" w:hAnsi="Arial" w:cs="Arial"/>
          <w:sz w:val="20"/>
        </w:rPr>
        <w:t xml:space="preserve"> and [</w:t>
      </w:r>
      <w:r w:rsidR="00772DCD" w:rsidRPr="00772DCD">
        <w:rPr>
          <w:rFonts w:ascii="Arial" w:hAnsi="Arial" w:cs="Arial"/>
          <w:sz w:val="20"/>
        </w:rPr>
        <w:t>1</w:t>
      </w:r>
      <w:r w:rsidR="00461022">
        <w:rPr>
          <w:rFonts w:ascii="Arial" w:hAnsi="Arial" w:cs="Arial"/>
          <w:sz w:val="20"/>
        </w:rPr>
        <w:t>3</w:t>
      </w:r>
      <w:r w:rsidR="00AD54D1" w:rsidRPr="00772DCD">
        <w:rPr>
          <w:rFonts w:ascii="Arial" w:hAnsi="Arial" w:cs="Arial"/>
          <w:sz w:val="20"/>
        </w:rPr>
        <w:t>]</w:t>
      </w:r>
      <w:r w:rsidR="00C95E98" w:rsidRPr="00461022">
        <w:rPr>
          <w:rFonts w:ascii="Arial" w:hAnsi="Arial" w:cs="Arial"/>
          <w:sz w:val="20"/>
        </w:rPr>
        <w:t xml:space="preserve"> </w:t>
      </w:r>
      <w:r w:rsidR="005839EA" w:rsidRPr="00461022">
        <w:rPr>
          <w:rFonts w:ascii="Arial" w:hAnsi="Arial" w:cs="Arial"/>
          <w:sz w:val="20"/>
        </w:rPr>
        <w:t>s</w:t>
      </w:r>
      <w:r w:rsidR="006312CC" w:rsidRPr="00461022">
        <w:rPr>
          <w:rFonts w:ascii="Arial" w:hAnsi="Arial" w:cs="Arial"/>
          <w:sz w:val="20"/>
        </w:rPr>
        <w:t>uch</w:t>
      </w:r>
      <w:r w:rsidR="006312CC" w:rsidRPr="00772DCD">
        <w:rPr>
          <w:rFonts w:ascii="Arial" w:hAnsi="Arial" w:cs="Arial"/>
          <w:sz w:val="20"/>
        </w:rPr>
        <w:t xml:space="preserve"> an</w:t>
      </w:r>
      <w:r w:rsidR="006312CC">
        <w:rPr>
          <w:rFonts w:ascii="Arial" w:hAnsi="Arial" w:cs="Arial"/>
          <w:sz w:val="20"/>
        </w:rPr>
        <w:t xml:space="preserve"> effect may not be as pronounced in non-terrestrial deployments</w:t>
      </w:r>
      <w:r w:rsidR="0041784F">
        <w:rPr>
          <w:rFonts w:ascii="Arial" w:hAnsi="Arial" w:cs="Arial"/>
          <w:sz w:val="20"/>
        </w:rPr>
        <w:t xml:space="preserve">, thus the </w:t>
      </w:r>
      <w:r w:rsidR="00F354C0" w:rsidRPr="007A2BE2">
        <w:rPr>
          <w:rFonts w:ascii="Arial" w:hAnsi="Arial" w:cs="Arial"/>
          <w:sz w:val="20"/>
        </w:rPr>
        <w:t>difference in signal strength between two beams in overlap region may be low.</w:t>
      </w:r>
    </w:p>
    <w:p w14:paraId="3E10C858" w14:textId="0D2229D5" w:rsidR="006E293D" w:rsidRDefault="0031152B" w:rsidP="006E293D">
      <w:pPr>
        <w:jc w:val="center"/>
      </w:pPr>
      <w:r>
        <w:object w:dxaOrig="8940" w:dyaOrig="5175" w14:anchorId="6146C61A">
          <v:shape id="_x0000_i1026" type="#_x0000_t75" style="width:245.95pt;height:144.35pt" o:ole="">
            <v:imagedata r:id="rId11" o:title=""/>
          </v:shape>
          <o:OLEObject Type="Embed" ProgID="Visio.Drawing.15" ShapeID="_x0000_i1026" DrawAspect="Content" ObjectID="_1619532175" r:id="rId12"/>
        </w:object>
      </w:r>
    </w:p>
    <w:p w14:paraId="08337629" w14:textId="7F190EAC" w:rsidR="006E293D" w:rsidRPr="006E293D" w:rsidRDefault="006E293D" w:rsidP="006E293D">
      <w:pPr>
        <w:jc w:val="center"/>
        <w:rPr>
          <w:rFonts w:ascii="Arial" w:hAnsi="Arial" w:cs="Arial"/>
          <w:sz w:val="20"/>
          <w:lang w:eastAsia="zh-CN"/>
        </w:rPr>
      </w:pPr>
      <w:r w:rsidRPr="006E293D">
        <w:rPr>
          <w:rFonts w:ascii="Arial" w:hAnsi="Arial" w:cs="Arial"/>
          <w:b/>
          <w:sz w:val="20"/>
          <w:lang w:eastAsia="zh-CN"/>
        </w:rPr>
        <w:t xml:space="preserve">Figure </w:t>
      </w:r>
      <w:r w:rsidR="004C713F">
        <w:rPr>
          <w:rFonts w:ascii="Arial" w:hAnsi="Arial" w:cs="Arial"/>
          <w:b/>
          <w:sz w:val="20"/>
          <w:lang w:eastAsia="zh-CN"/>
        </w:rPr>
        <w:t>2</w:t>
      </w:r>
      <w:r>
        <w:rPr>
          <w:rFonts w:ascii="Arial" w:hAnsi="Arial" w:cs="Arial"/>
          <w:b/>
          <w:sz w:val="20"/>
          <w:lang w:eastAsia="zh-CN"/>
        </w:rPr>
        <w:t xml:space="preserve"> [</w:t>
      </w:r>
      <w:r w:rsidR="000231DE">
        <w:rPr>
          <w:rFonts w:ascii="Arial" w:hAnsi="Arial" w:cs="Arial"/>
          <w:b/>
          <w:sz w:val="20"/>
          <w:lang w:eastAsia="zh-CN"/>
        </w:rPr>
        <w:t>13</w:t>
      </w:r>
      <w:r>
        <w:rPr>
          <w:rFonts w:ascii="Arial" w:hAnsi="Arial" w:cs="Arial"/>
          <w:b/>
          <w:sz w:val="20"/>
          <w:lang w:eastAsia="zh-CN"/>
        </w:rPr>
        <w:t>]</w:t>
      </w:r>
      <w:r w:rsidRPr="006E293D">
        <w:rPr>
          <w:rFonts w:ascii="Arial" w:hAnsi="Arial" w:cs="Arial"/>
          <w:sz w:val="20"/>
          <w:lang w:eastAsia="zh-CN"/>
        </w:rPr>
        <w:t>. A sketch of near-far effect in different scenarios: (a) Terrestrial Network; (b) NTN</w:t>
      </w:r>
    </w:p>
    <w:p w14:paraId="7E4F88EC" w14:textId="54E5AFA3" w:rsidR="00F354C0" w:rsidRPr="007A2BE2" w:rsidRDefault="00C95E98" w:rsidP="00F354C0">
      <w:pPr>
        <w:jc w:val="both"/>
        <w:rPr>
          <w:rFonts w:ascii="Arial" w:hAnsi="Arial" w:cs="Arial"/>
          <w:sz w:val="20"/>
        </w:rPr>
      </w:pPr>
      <w:r>
        <w:rPr>
          <w:rFonts w:ascii="Arial" w:hAnsi="Arial" w:cs="Arial"/>
          <w:sz w:val="20"/>
        </w:rPr>
        <w:lastRenderedPageBreak/>
        <w:t xml:space="preserve">As the Rel-15 handover mechanism is based </w:t>
      </w:r>
      <w:r w:rsidR="00D11ABE">
        <w:rPr>
          <w:rFonts w:ascii="Arial" w:hAnsi="Arial" w:cs="Arial"/>
          <w:sz w:val="20"/>
        </w:rPr>
        <w:t xml:space="preserve">on </w:t>
      </w:r>
      <w:r>
        <w:rPr>
          <w:rFonts w:ascii="Arial" w:hAnsi="Arial" w:cs="Arial"/>
          <w:sz w:val="20"/>
        </w:rPr>
        <w:t xml:space="preserve">the A3 measurement events, the UE may have difficulty distinguishing the </w:t>
      </w:r>
      <w:r w:rsidR="006A1C7F">
        <w:rPr>
          <w:rFonts w:ascii="Arial" w:hAnsi="Arial" w:cs="Arial"/>
          <w:sz w:val="20"/>
        </w:rPr>
        <w:t xml:space="preserve">better </w:t>
      </w:r>
      <w:r>
        <w:rPr>
          <w:rFonts w:ascii="Arial" w:hAnsi="Arial" w:cs="Arial"/>
          <w:sz w:val="20"/>
        </w:rPr>
        <w:t>cell</w:t>
      </w:r>
      <w:r w:rsidR="00A95018">
        <w:rPr>
          <w:rFonts w:ascii="Arial" w:hAnsi="Arial" w:cs="Arial"/>
          <w:sz w:val="20"/>
        </w:rPr>
        <w:t xml:space="preserve"> in areas of overlap.</w:t>
      </w:r>
      <w:r w:rsidR="00AD7A22">
        <w:rPr>
          <w:rFonts w:ascii="Arial" w:hAnsi="Arial" w:cs="Arial"/>
          <w:sz w:val="20"/>
        </w:rPr>
        <w:t xml:space="preserve"> Considered in conjunction with possibly outdated measurements as elaborated on in section 2.1.2, such a scenario could</w:t>
      </w:r>
      <w:r>
        <w:rPr>
          <w:rFonts w:ascii="Arial" w:hAnsi="Arial" w:cs="Arial"/>
          <w:sz w:val="20"/>
        </w:rPr>
        <w:t xml:space="preserve"> lead to the </w:t>
      </w:r>
      <w:r w:rsidR="00F354C0" w:rsidRPr="007A2BE2">
        <w:rPr>
          <w:rFonts w:ascii="Arial" w:hAnsi="Arial" w:cs="Arial"/>
          <w:sz w:val="20"/>
        </w:rPr>
        <w:t>UE ping-pong</w:t>
      </w:r>
      <w:r>
        <w:rPr>
          <w:rFonts w:ascii="Arial" w:hAnsi="Arial" w:cs="Arial"/>
          <w:sz w:val="20"/>
        </w:rPr>
        <w:t>ing</w:t>
      </w:r>
      <w:r w:rsidR="00F354C0" w:rsidRPr="007A2BE2">
        <w:rPr>
          <w:rFonts w:ascii="Arial" w:hAnsi="Arial" w:cs="Arial"/>
          <w:sz w:val="20"/>
        </w:rPr>
        <w:t xml:space="preserve"> back and forth</w:t>
      </w:r>
      <w:r>
        <w:rPr>
          <w:rFonts w:ascii="Arial" w:hAnsi="Arial" w:cs="Arial"/>
          <w:sz w:val="20"/>
        </w:rPr>
        <w:t xml:space="preserve"> between cells</w:t>
      </w:r>
      <w:r w:rsidR="00AD7A22">
        <w:rPr>
          <w:rFonts w:ascii="Arial" w:hAnsi="Arial" w:cs="Arial"/>
          <w:sz w:val="20"/>
        </w:rPr>
        <w:t xml:space="preserve">, and </w:t>
      </w:r>
      <w:r>
        <w:rPr>
          <w:rFonts w:ascii="Arial" w:hAnsi="Arial" w:cs="Arial"/>
          <w:sz w:val="20"/>
        </w:rPr>
        <w:t>a</w:t>
      </w:r>
      <w:r w:rsidR="00AD7A22">
        <w:rPr>
          <w:rFonts w:ascii="Arial" w:hAnsi="Arial" w:cs="Arial"/>
          <w:sz w:val="20"/>
        </w:rPr>
        <w:t>n overall</w:t>
      </w:r>
      <w:r>
        <w:rPr>
          <w:rFonts w:ascii="Arial" w:hAnsi="Arial" w:cs="Arial"/>
          <w:sz w:val="20"/>
        </w:rPr>
        <w:t xml:space="preserve"> reduction in handover robustness.</w:t>
      </w:r>
    </w:p>
    <w:p w14:paraId="0ADE8410" w14:textId="1D201C20" w:rsidR="008314FC" w:rsidRPr="00445468" w:rsidRDefault="008314FC"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4</w:t>
      </w:r>
      <w:r w:rsidRPr="00445468">
        <w:rPr>
          <w:rFonts w:ascii="Arial" w:hAnsi="Arial" w:cs="Arial"/>
          <w:b/>
          <w:sz w:val="20"/>
          <w:szCs w:val="20"/>
          <w:u w:val="single"/>
        </w:rPr>
        <w:t>:</w:t>
      </w:r>
      <w:r w:rsidRPr="00445468">
        <w:rPr>
          <w:rFonts w:ascii="Arial" w:hAnsi="Arial" w:cs="Arial"/>
          <w:sz w:val="20"/>
          <w:szCs w:val="20"/>
        </w:rPr>
        <w:tab/>
      </w:r>
      <w:r w:rsidR="005839EA">
        <w:rPr>
          <w:rFonts w:ascii="Arial" w:hAnsi="Arial" w:cs="Arial"/>
          <w:i/>
          <w:sz w:val="20"/>
          <w:szCs w:val="20"/>
        </w:rPr>
        <w:t>Difference in signal strength between beam center and edge is less</w:t>
      </w:r>
      <w:r w:rsidR="00C77128">
        <w:rPr>
          <w:rFonts w:ascii="Arial" w:hAnsi="Arial" w:cs="Arial"/>
          <w:i/>
          <w:sz w:val="20"/>
          <w:szCs w:val="20"/>
        </w:rPr>
        <w:t xml:space="preserve"> pronounced</w:t>
      </w:r>
      <w:r w:rsidR="005839EA">
        <w:rPr>
          <w:rFonts w:ascii="Arial" w:hAnsi="Arial" w:cs="Arial"/>
          <w:i/>
          <w:sz w:val="20"/>
          <w:szCs w:val="20"/>
        </w:rPr>
        <w:t xml:space="preserve"> as compared to terrestrial systems. A3 triggered handover may be insufficient for mobility purposes in regions of beam overlap</w:t>
      </w:r>
      <w:r w:rsidR="00916C4E">
        <w:rPr>
          <w:rFonts w:ascii="Arial" w:hAnsi="Arial" w:cs="Arial"/>
          <w:i/>
          <w:sz w:val="20"/>
          <w:szCs w:val="20"/>
        </w:rPr>
        <w:t>.</w:t>
      </w:r>
    </w:p>
    <w:p w14:paraId="0BE03F87" w14:textId="7909D9D8" w:rsidR="007C2924" w:rsidRPr="00445468" w:rsidRDefault="007C2924" w:rsidP="00020B87">
      <w:pPr>
        <w:pStyle w:val="Heading3"/>
      </w:pPr>
      <w:r w:rsidRPr="00445468">
        <w:t>Frequency of HO</w:t>
      </w:r>
      <w:r w:rsidR="002B50AA">
        <w:t xml:space="preserve"> and UE speed</w:t>
      </w:r>
      <w:r w:rsidR="00FE5CA4">
        <w:t xml:space="preserve"> </w:t>
      </w:r>
      <w:r w:rsidR="00FA6649">
        <w:t>[</w:t>
      </w:r>
      <w:r w:rsidR="00376A94">
        <w:t xml:space="preserve">8, </w:t>
      </w:r>
      <w:r w:rsidR="004E78B3">
        <w:t>14</w:t>
      </w:r>
      <w:r w:rsidR="00442050">
        <w:t>, 18</w:t>
      </w:r>
      <w:r w:rsidR="00FA6649">
        <w:t>]</w:t>
      </w:r>
    </w:p>
    <w:p w14:paraId="7FE3D4A6" w14:textId="77777777" w:rsidR="00F62608" w:rsidRDefault="00F62608" w:rsidP="007C2924">
      <w:pPr>
        <w:jc w:val="both"/>
        <w:rPr>
          <w:rFonts w:ascii="Arial" w:hAnsi="Arial" w:cs="Arial"/>
          <w:sz w:val="20"/>
        </w:rPr>
      </w:pPr>
    </w:p>
    <w:p w14:paraId="62B5C7E2" w14:textId="1A2B17E4" w:rsidR="00F62608" w:rsidRDefault="004A1CFC" w:rsidP="0031152B">
      <w:pPr>
        <w:jc w:val="center"/>
        <w:rPr>
          <w:rFonts w:ascii="Arial" w:hAnsi="Arial" w:cs="Arial"/>
          <w:sz w:val="20"/>
        </w:rPr>
      </w:pPr>
      <w:r>
        <w:rPr>
          <w:rFonts w:ascii="Arial" w:hAnsi="Arial" w:cs="Arial"/>
          <w:noProof/>
          <w:sz w:val="20"/>
        </w:rPr>
        <w:drawing>
          <wp:inline distT="0" distB="0" distL="0" distR="0" wp14:anchorId="4A7F705A" wp14:editId="410DE711">
            <wp:extent cx="4513267" cy="248461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310" cy="2493451"/>
                    </a:xfrm>
                    <a:prstGeom prst="rect">
                      <a:avLst/>
                    </a:prstGeom>
                    <a:noFill/>
                  </pic:spPr>
                </pic:pic>
              </a:graphicData>
            </a:graphic>
          </wp:inline>
        </w:drawing>
      </w:r>
    </w:p>
    <w:p w14:paraId="7A45D262" w14:textId="2C24C252" w:rsidR="004A1CFC" w:rsidRPr="006E293D" w:rsidRDefault="004A1CFC" w:rsidP="004A1CFC">
      <w:pPr>
        <w:jc w:val="center"/>
        <w:rPr>
          <w:rFonts w:ascii="Arial" w:hAnsi="Arial" w:cs="Arial"/>
          <w:sz w:val="20"/>
          <w:lang w:eastAsia="zh-CN"/>
        </w:rPr>
      </w:pPr>
      <w:r w:rsidRPr="006E293D">
        <w:rPr>
          <w:rFonts w:ascii="Arial" w:hAnsi="Arial" w:cs="Arial"/>
          <w:b/>
          <w:sz w:val="20"/>
          <w:lang w:eastAsia="zh-CN"/>
        </w:rPr>
        <w:t xml:space="preserve">Figure </w:t>
      </w:r>
      <w:r>
        <w:rPr>
          <w:rFonts w:ascii="Arial" w:hAnsi="Arial" w:cs="Arial"/>
          <w:b/>
          <w:sz w:val="20"/>
          <w:lang w:eastAsia="zh-CN"/>
        </w:rPr>
        <w:t>3 [8]</w:t>
      </w:r>
      <w:r w:rsidRPr="006E293D">
        <w:rPr>
          <w:rFonts w:ascii="Arial" w:hAnsi="Arial" w:cs="Arial"/>
          <w:sz w:val="20"/>
          <w:lang w:eastAsia="zh-CN"/>
        </w:rPr>
        <w:t xml:space="preserve">. A sketch of </w:t>
      </w:r>
      <w:r>
        <w:rPr>
          <w:rFonts w:ascii="Arial" w:hAnsi="Arial" w:cs="Arial"/>
          <w:sz w:val="20"/>
          <w:lang w:eastAsia="zh-CN"/>
        </w:rPr>
        <w:t xml:space="preserve">high-speed LEO satellite movement over earth </w:t>
      </w:r>
    </w:p>
    <w:p w14:paraId="193F88E0" w14:textId="77777777" w:rsidR="004A1CFC" w:rsidRDefault="004A1CFC" w:rsidP="007C2924">
      <w:pPr>
        <w:jc w:val="both"/>
        <w:rPr>
          <w:rFonts w:ascii="Arial" w:hAnsi="Arial" w:cs="Arial"/>
          <w:sz w:val="20"/>
        </w:rPr>
      </w:pPr>
    </w:p>
    <w:p w14:paraId="34F1D830" w14:textId="419E2CCA" w:rsidR="007C2924" w:rsidRDefault="007C2924" w:rsidP="007C2924">
      <w:pPr>
        <w:jc w:val="both"/>
        <w:rPr>
          <w:rFonts w:ascii="Arial" w:hAnsi="Arial" w:cs="Arial"/>
          <w:sz w:val="20"/>
        </w:rPr>
      </w:pPr>
      <w:r w:rsidRPr="00445468">
        <w:rPr>
          <w:rFonts w:ascii="Arial" w:hAnsi="Arial" w:cs="Arial"/>
          <w:sz w:val="20"/>
        </w:rPr>
        <w:t>Satellites in non-GEO orbits move with high speed relative to a fixed position on earth, leading to frequent and unavoidable handover for stationary UEs. As UE speeds up to 1000 km/</w:t>
      </w:r>
      <w:proofErr w:type="spellStart"/>
      <w:r w:rsidRPr="00445468">
        <w:rPr>
          <w:rFonts w:ascii="Arial" w:hAnsi="Arial" w:cs="Arial"/>
          <w:sz w:val="20"/>
        </w:rPr>
        <w:t>hr</w:t>
      </w:r>
      <w:proofErr w:type="spellEnd"/>
      <w:r w:rsidRPr="00445468">
        <w:rPr>
          <w:rFonts w:ascii="Arial" w:hAnsi="Arial" w:cs="Arial"/>
          <w:sz w:val="20"/>
        </w:rPr>
        <w:t xml:space="preserve"> are considered in NTN, depending on the direction of UE movement, the frequency of handover for moving UEs could be slightly reduced (UE movement in same direction as satellite) or be even greater (UE movement in opposite direction of satellite).</w:t>
      </w:r>
      <w:r w:rsidR="00000AA8">
        <w:rPr>
          <w:rFonts w:ascii="Arial" w:hAnsi="Arial" w:cs="Arial"/>
          <w:sz w:val="20"/>
        </w:rPr>
        <w:t xml:space="preserve"> </w:t>
      </w:r>
    </w:p>
    <w:p w14:paraId="458D5600" w14:textId="09F72AE8" w:rsidR="00000AA8" w:rsidRDefault="002B50AA" w:rsidP="00FE5CA4">
      <w:pPr>
        <w:jc w:val="both"/>
        <w:rPr>
          <w:rFonts w:ascii="Arial" w:hAnsi="Arial" w:cs="Arial"/>
          <w:sz w:val="20"/>
        </w:rPr>
      </w:pPr>
      <w:r>
        <w:rPr>
          <w:rFonts w:ascii="Arial" w:hAnsi="Arial" w:cs="Arial"/>
          <w:sz w:val="20"/>
        </w:rPr>
        <w:t>As noted in [</w:t>
      </w:r>
      <w:r w:rsidR="004E78B3">
        <w:rPr>
          <w:rFonts w:ascii="Arial" w:hAnsi="Arial" w:cs="Arial"/>
          <w:sz w:val="20"/>
        </w:rPr>
        <w:t>14</w:t>
      </w:r>
      <w:r>
        <w:rPr>
          <w:rFonts w:ascii="Arial" w:hAnsi="Arial" w:cs="Arial"/>
          <w:sz w:val="20"/>
        </w:rPr>
        <w:t xml:space="preserve">], such frequent and unavoidable handover may result in significant signaling overhead </w:t>
      </w:r>
      <w:r w:rsidR="00376A94">
        <w:rPr>
          <w:rFonts w:ascii="Arial" w:hAnsi="Arial" w:cs="Arial"/>
          <w:sz w:val="20"/>
        </w:rPr>
        <w:t xml:space="preserve">[8] </w:t>
      </w:r>
      <w:r>
        <w:rPr>
          <w:rFonts w:ascii="Arial" w:hAnsi="Arial" w:cs="Arial"/>
          <w:sz w:val="20"/>
        </w:rPr>
        <w:t>and impact power consumption</w:t>
      </w:r>
      <w:r w:rsidR="00A43DF0">
        <w:rPr>
          <w:rFonts w:ascii="Arial" w:hAnsi="Arial" w:cs="Arial"/>
          <w:sz w:val="20"/>
        </w:rPr>
        <w:t>, as well as</w:t>
      </w:r>
      <w:r w:rsidR="006333E7">
        <w:rPr>
          <w:rFonts w:ascii="Arial" w:hAnsi="Arial" w:cs="Arial"/>
          <w:sz w:val="20"/>
        </w:rPr>
        <w:t xml:space="preserve"> </w:t>
      </w:r>
      <w:r w:rsidR="00A43DF0">
        <w:rPr>
          <w:rFonts w:ascii="Arial" w:hAnsi="Arial" w:cs="Arial"/>
          <w:sz w:val="20"/>
        </w:rPr>
        <w:t xml:space="preserve">exacerbating other </w:t>
      </w:r>
      <w:r w:rsidR="006333E7">
        <w:rPr>
          <w:rFonts w:ascii="Arial" w:hAnsi="Arial" w:cs="Arial"/>
          <w:sz w:val="20"/>
        </w:rPr>
        <w:t>challenges related to mobility</w:t>
      </w:r>
      <w:r w:rsidR="00A43DF0">
        <w:rPr>
          <w:rFonts w:ascii="Arial" w:hAnsi="Arial" w:cs="Arial"/>
          <w:sz w:val="20"/>
        </w:rPr>
        <w:t xml:space="preserve"> e.g.</w:t>
      </w:r>
      <w:r w:rsidR="006333E7">
        <w:rPr>
          <w:rFonts w:ascii="Arial" w:hAnsi="Arial" w:cs="Arial"/>
          <w:sz w:val="20"/>
        </w:rPr>
        <w:t xml:space="preserve"> signaling latency, measurement validity, and cell overlap/near far effect elaborated on in previous sections 2.1.1 – 2.1.3.</w:t>
      </w:r>
      <w:r w:rsidR="00000AA8">
        <w:rPr>
          <w:rFonts w:ascii="Arial" w:hAnsi="Arial" w:cs="Arial"/>
          <w:sz w:val="20"/>
        </w:rPr>
        <w:t xml:space="preserve"> </w:t>
      </w:r>
    </w:p>
    <w:p w14:paraId="4DA5F0CF" w14:textId="5A1661B1" w:rsidR="00540625" w:rsidRDefault="00000AA8" w:rsidP="00FE5CA4">
      <w:pPr>
        <w:jc w:val="both"/>
        <w:rPr>
          <w:rFonts w:ascii="Arial" w:hAnsi="Arial" w:cs="Arial"/>
          <w:sz w:val="20"/>
          <w:szCs w:val="20"/>
        </w:rPr>
      </w:pPr>
      <w:r>
        <w:rPr>
          <w:rFonts w:ascii="Arial" w:hAnsi="Arial" w:cs="Arial"/>
          <w:sz w:val="20"/>
        </w:rPr>
        <w:t>Satellites in GEO deployments (scenarios A and B) remain approximately stationary, thus do not experience such issues for stationary UEs. Though mobile UEs still move at high speeds, due to larger cell sizes it is expected that challenges regarding handover frequency</w:t>
      </w:r>
      <w:r w:rsidR="000C67DC">
        <w:rPr>
          <w:rFonts w:ascii="Arial" w:hAnsi="Arial" w:cs="Arial"/>
          <w:sz w:val="20"/>
        </w:rPr>
        <w:t xml:space="preserve"> in GEO deployments</w:t>
      </w:r>
      <w:r>
        <w:rPr>
          <w:rFonts w:ascii="Arial" w:hAnsi="Arial" w:cs="Arial"/>
          <w:sz w:val="20"/>
        </w:rPr>
        <w:t xml:space="preserve"> </w:t>
      </w:r>
      <w:r w:rsidR="000C67DC">
        <w:rPr>
          <w:rFonts w:ascii="Arial" w:hAnsi="Arial" w:cs="Arial"/>
          <w:sz w:val="20"/>
        </w:rPr>
        <w:t>should</w:t>
      </w:r>
      <w:r>
        <w:rPr>
          <w:rFonts w:ascii="Arial" w:hAnsi="Arial" w:cs="Arial"/>
          <w:sz w:val="20"/>
        </w:rPr>
        <w:t xml:space="preserve"> be down-prioritized.</w:t>
      </w:r>
    </w:p>
    <w:p w14:paraId="7DBC1BA8" w14:textId="00AC1E8F" w:rsidR="008314FC" w:rsidRDefault="008314FC" w:rsidP="00772DCD">
      <w:pPr>
        <w:ind w:left="1560" w:hanging="1560"/>
        <w:jc w:val="both"/>
        <w:rPr>
          <w:rFonts w:ascii="Arial" w:hAnsi="Arial" w:cs="Arial"/>
          <w:i/>
          <w:sz w:val="20"/>
        </w:rPr>
      </w:pPr>
      <w:r w:rsidRPr="00445468">
        <w:rPr>
          <w:rFonts w:ascii="Arial" w:hAnsi="Arial" w:cs="Arial"/>
          <w:b/>
          <w:sz w:val="20"/>
          <w:szCs w:val="20"/>
          <w:u w:val="single"/>
        </w:rPr>
        <w:t xml:space="preserve">Observation </w:t>
      </w:r>
      <w:r w:rsidR="00483FBD">
        <w:rPr>
          <w:rFonts w:ascii="Arial" w:hAnsi="Arial" w:cs="Arial"/>
          <w:b/>
          <w:sz w:val="20"/>
          <w:szCs w:val="20"/>
          <w:u w:val="single"/>
        </w:rPr>
        <w:t>5</w:t>
      </w:r>
      <w:r w:rsidRPr="00445468">
        <w:rPr>
          <w:rFonts w:ascii="Arial" w:hAnsi="Arial" w:cs="Arial"/>
          <w:b/>
          <w:sz w:val="20"/>
          <w:szCs w:val="20"/>
          <w:u w:val="single"/>
        </w:rPr>
        <w:t>:</w:t>
      </w:r>
      <w:r w:rsidRPr="00445468">
        <w:rPr>
          <w:rFonts w:ascii="Arial" w:hAnsi="Arial" w:cs="Arial"/>
          <w:sz w:val="20"/>
          <w:szCs w:val="20"/>
        </w:rPr>
        <w:tab/>
      </w:r>
      <w:r w:rsidR="003413C0" w:rsidRPr="003413C0">
        <w:rPr>
          <w:rFonts w:ascii="Arial" w:hAnsi="Arial" w:cs="Arial"/>
          <w:i/>
          <w:sz w:val="20"/>
          <w:szCs w:val="20"/>
        </w:rPr>
        <w:t>Due to satellite movement in non-GEO deployments, f</w:t>
      </w:r>
      <w:r w:rsidR="003413C0" w:rsidRPr="003413C0">
        <w:rPr>
          <w:rFonts w:ascii="Arial" w:hAnsi="Arial" w:cs="Arial"/>
          <w:i/>
          <w:sz w:val="20"/>
        </w:rPr>
        <w:t>requent and unavoidable handover may result in significant signaling overhead and impact power consumption</w:t>
      </w:r>
      <w:r w:rsidR="003413C0">
        <w:rPr>
          <w:rFonts w:ascii="Arial" w:hAnsi="Arial" w:cs="Arial"/>
          <w:i/>
          <w:sz w:val="20"/>
        </w:rPr>
        <w:t xml:space="preserve"> for both stationary and moving UEs</w:t>
      </w:r>
      <w:r w:rsidR="003413C0" w:rsidRPr="003413C0">
        <w:rPr>
          <w:rFonts w:ascii="Arial" w:hAnsi="Arial" w:cs="Arial"/>
          <w:i/>
          <w:sz w:val="20"/>
        </w:rPr>
        <w:t xml:space="preserve">. </w:t>
      </w:r>
    </w:p>
    <w:p w14:paraId="03D9E7CC" w14:textId="431EEB0A" w:rsidR="003413C0" w:rsidRPr="003413C0" w:rsidRDefault="003413C0" w:rsidP="00772DCD">
      <w:pPr>
        <w:ind w:left="1560" w:hanging="1560"/>
        <w:jc w:val="both"/>
        <w:rPr>
          <w:rFonts w:ascii="Arial" w:hAnsi="Arial" w:cs="Arial"/>
          <w:i/>
          <w:sz w:val="20"/>
          <w:szCs w:val="20"/>
        </w:rPr>
      </w:pPr>
      <w:r w:rsidRPr="00445468">
        <w:rPr>
          <w:rFonts w:ascii="Arial" w:hAnsi="Arial" w:cs="Arial"/>
          <w:b/>
          <w:sz w:val="20"/>
          <w:szCs w:val="20"/>
          <w:u w:val="single"/>
        </w:rPr>
        <w:lastRenderedPageBreak/>
        <w:t xml:space="preserve">Observation </w:t>
      </w:r>
      <w:r w:rsidR="00483FBD">
        <w:rPr>
          <w:rFonts w:ascii="Arial" w:hAnsi="Arial" w:cs="Arial"/>
          <w:b/>
          <w:sz w:val="20"/>
          <w:szCs w:val="20"/>
          <w:u w:val="single"/>
        </w:rPr>
        <w:t>6</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rPr>
        <w:t xml:space="preserve">The frequency of handover </w:t>
      </w:r>
      <w:r w:rsidR="007A6DDA">
        <w:rPr>
          <w:rFonts w:ascii="Arial" w:hAnsi="Arial" w:cs="Arial"/>
          <w:i/>
          <w:sz w:val="20"/>
        </w:rPr>
        <w:t xml:space="preserve">in non-GEO deployments </w:t>
      </w:r>
      <w:r w:rsidR="00A43DF0">
        <w:rPr>
          <w:rFonts w:ascii="Arial" w:hAnsi="Arial" w:cs="Arial"/>
          <w:i/>
          <w:sz w:val="20"/>
        </w:rPr>
        <w:t>exacerbates</w:t>
      </w:r>
      <w:r w:rsidRPr="003413C0">
        <w:rPr>
          <w:rFonts w:ascii="Arial" w:hAnsi="Arial" w:cs="Arial"/>
          <w:i/>
          <w:sz w:val="20"/>
        </w:rPr>
        <w:t xml:space="preserve"> </w:t>
      </w:r>
      <w:r w:rsidR="00A43DF0">
        <w:rPr>
          <w:rFonts w:ascii="Arial" w:hAnsi="Arial" w:cs="Arial"/>
          <w:i/>
          <w:sz w:val="20"/>
        </w:rPr>
        <w:t xml:space="preserve">other </w:t>
      </w:r>
      <w:r w:rsidRPr="003413C0">
        <w:rPr>
          <w:rFonts w:ascii="Arial" w:hAnsi="Arial" w:cs="Arial"/>
          <w:i/>
          <w:sz w:val="20"/>
        </w:rPr>
        <w:t>challenges related to mobility</w:t>
      </w:r>
      <w:r w:rsidR="00A43DF0">
        <w:rPr>
          <w:rFonts w:ascii="Arial" w:hAnsi="Arial" w:cs="Arial"/>
          <w:i/>
          <w:sz w:val="20"/>
        </w:rPr>
        <w:t>, such as</w:t>
      </w:r>
      <w:r w:rsidRPr="003413C0">
        <w:rPr>
          <w:rFonts w:ascii="Arial" w:hAnsi="Arial" w:cs="Arial"/>
          <w:i/>
          <w:sz w:val="20"/>
        </w:rPr>
        <w:t xml:space="preserve"> signaling latency, measurement validity, and cell overlap/near far effect</w:t>
      </w:r>
      <w:r>
        <w:rPr>
          <w:rFonts w:ascii="Arial" w:hAnsi="Arial" w:cs="Arial"/>
          <w:i/>
          <w:sz w:val="20"/>
        </w:rPr>
        <w:t>.</w:t>
      </w:r>
    </w:p>
    <w:p w14:paraId="1C16210A" w14:textId="6A0F69D5" w:rsidR="00740634" w:rsidRDefault="00740634" w:rsidP="00740634">
      <w:pPr>
        <w:pStyle w:val="Heading3"/>
      </w:pPr>
      <w:r>
        <w:t>Dynamic Neighbour Cell Set [</w:t>
      </w:r>
      <w:r w:rsidR="003A55B9">
        <w:t>16</w:t>
      </w:r>
      <w:r>
        <w:t>]</w:t>
      </w:r>
    </w:p>
    <w:p w14:paraId="4BE97061" w14:textId="167F2AF6" w:rsidR="00740634" w:rsidRDefault="001103A2" w:rsidP="001103A2">
      <w:pPr>
        <w:tabs>
          <w:tab w:val="left" w:pos="1245"/>
        </w:tabs>
        <w:jc w:val="both"/>
        <w:rPr>
          <w:rFonts w:ascii="Arial" w:hAnsi="Arial" w:cs="Arial"/>
          <w:sz w:val="20"/>
        </w:rPr>
      </w:pPr>
      <w:r>
        <w:rPr>
          <w:rFonts w:ascii="Arial" w:hAnsi="Arial" w:cs="Arial"/>
          <w:sz w:val="20"/>
        </w:rPr>
        <w:t>In non-GEO deployments (i.e. scenarios C1, C2, D1 and D2) satellites constantly move with respect to a fixed point on earth. Depending on implementation assumptions i.e. if a PCI/SSB combination is specific to a satellite, the neighboring cell set may constantly change for both stationary and moving UEs. As noted in [</w:t>
      </w:r>
      <w:r w:rsidR="003A55B9">
        <w:rPr>
          <w:rFonts w:ascii="Arial" w:hAnsi="Arial" w:cs="Arial"/>
          <w:sz w:val="20"/>
        </w:rPr>
        <w:t>16</w:t>
      </w:r>
      <w:r>
        <w:rPr>
          <w:rFonts w:ascii="Arial" w:hAnsi="Arial" w:cs="Arial"/>
          <w:sz w:val="20"/>
        </w:rPr>
        <w:t>], such variation may have several implications to the UE, specifically:</w:t>
      </w:r>
    </w:p>
    <w:p w14:paraId="4028803A" w14:textId="279FD70A" w:rsidR="001103A2" w:rsidRDefault="001103A2" w:rsidP="001103A2">
      <w:pPr>
        <w:pStyle w:val="ListParagraph"/>
        <w:numPr>
          <w:ilvl w:val="0"/>
          <w:numId w:val="12"/>
        </w:numPr>
        <w:tabs>
          <w:tab w:val="left" w:pos="1245"/>
        </w:tabs>
        <w:jc w:val="both"/>
        <w:rPr>
          <w:rFonts w:ascii="Arial" w:hAnsi="Arial" w:cs="Arial"/>
          <w:sz w:val="20"/>
        </w:rPr>
      </w:pPr>
      <w:r>
        <w:rPr>
          <w:rFonts w:ascii="Arial" w:hAnsi="Arial" w:cs="Arial"/>
          <w:sz w:val="20"/>
        </w:rPr>
        <w:t>When evaluating potential HO candidates, consideration should be given to whether the candidate</w:t>
      </w:r>
      <w:r w:rsidR="00C67565">
        <w:rPr>
          <w:rFonts w:ascii="Arial" w:hAnsi="Arial" w:cs="Arial"/>
          <w:sz w:val="20"/>
        </w:rPr>
        <w:t xml:space="preserve"> cell(s)</w:t>
      </w:r>
      <w:r>
        <w:rPr>
          <w:rFonts w:ascii="Arial" w:hAnsi="Arial" w:cs="Arial"/>
          <w:sz w:val="20"/>
        </w:rPr>
        <w:t xml:space="preserve"> remain valid and for how long.</w:t>
      </w:r>
    </w:p>
    <w:p w14:paraId="3A765E05" w14:textId="6B0253AA" w:rsidR="001103A2" w:rsidRPr="001103A2" w:rsidRDefault="001103A2" w:rsidP="001103A2">
      <w:pPr>
        <w:pStyle w:val="ListParagraph"/>
        <w:numPr>
          <w:ilvl w:val="0"/>
          <w:numId w:val="12"/>
        </w:numPr>
        <w:tabs>
          <w:tab w:val="left" w:pos="1245"/>
        </w:tabs>
        <w:jc w:val="both"/>
        <w:rPr>
          <w:rFonts w:ascii="Arial" w:hAnsi="Arial" w:cs="Arial"/>
          <w:sz w:val="20"/>
        </w:rPr>
      </w:pPr>
      <w:r>
        <w:rPr>
          <w:rFonts w:ascii="Arial" w:hAnsi="Arial" w:cs="Arial"/>
          <w:sz w:val="20"/>
        </w:rPr>
        <w:t>Intercell mechanisms (e.g. when interference coordination schemes are deployed) require frequent adjustment.</w:t>
      </w:r>
    </w:p>
    <w:p w14:paraId="23B34D24" w14:textId="3B2DCCD6" w:rsidR="008314FC" w:rsidRPr="00445468" w:rsidRDefault="008314FC"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7</w:t>
      </w:r>
      <w:r w:rsidRPr="00445468">
        <w:rPr>
          <w:rFonts w:ascii="Arial" w:hAnsi="Arial" w:cs="Arial"/>
          <w:b/>
          <w:sz w:val="20"/>
          <w:szCs w:val="20"/>
          <w:u w:val="single"/>
        </w:rPr>
        <w:t>:</w:t>
      </w:r>
      <w:r w:rsidRPr="00445468">
        <w:rPr>
          <w:rFonts w:ascii="Arial" w:hAnsi="Arial" w:cs="Arial"/>
          <w:sz w:val="20"/>
          <w:szCs w:val="20"/>
        </w:rPr>
        <w:tab/>
      </w:r>
      <w:r w:rsidR="0064294D">
        <w:rPr>
          <w:rFonts w:ascii="Arial" w:hAnsi="Arial" w:cs="Arial"/>
          <w:i/>
          <w:sz w:val="20"/>
          <w:szCs w:val="20"/>
        </w:rPr>
        <w:t>Due to satellite movement in non-GEO deployments, the</w:t>
      </w:r>
      <w:r w:rsidR="00EF7820">
        <w:rPr>
          <w:rFonts w:ascii="Arial" w:hAnsi="Arial" w:cs="Arial"/>
          <w:i/>
          <w:sz w:val="20"/>
          <w:szCs w:val="20"/>
        </w:rPr>
        <w:t xml:space="preserve"> </w:t>
      </w:r>
      <w:r w:rsidR="008A4AD4">
        <w:rPr>
          <w:rFonts w:ascii="Arial" w:hAnsi="Arial" w:cs="Arial"/>
          <w:i/>
          <w:sz w:val="20"/>
          <w:szCs w:val="20"/>
        </w:rPr>
        <w:t>neighboring</w:t>
      </w:r>
      <w:r w:rsidR="00EF7820">
        <w:rPr>
          <w:rFonts w:ascii="Arial" w:hAnsi="Arial" w:cs="Arial"/>
          <w:i/>
          <w:sz w:val="20"/>
          <w:szCs w:val="20"/>
        </w:rPr>
        <w:t xml:space="preserve"> cell set may constantly change based on implementation assumptions. This may lead to challenges when evaluating potential HO candidates and intercell mechanisms.</w:t>
      </w:r>
    </w:p>
    <w:p w14:paraId="3CFF817B" w14:textId="108558FF" w:rsidR="007C2924" w:rsidRPr="00445468" w:rsidRDefault="00545D82" w:rsidP="007C2924">
      <w:pPr>
        <w:pStyle w:val="Heading3"/>
      </w:pPr>
      <w:r>
        <w:t>Handover for large number of UEs</w:t>
      </w:r>
      <w:r w:rsidR="00FA6649">
        <w:t xml:space="preserve"> [</w:t>
      </w:r>
      <w:r w:rsidR="004D1466">
        <w:t>6</w:t>
      </w:r>
      <w:r w:rsidR="000231DE">
        <w:t>,</w:t>
      </w:r>
      <w:r w:rsidR="00D61D0E">
        <w:t xml:space="preserve"> </w:t>
      </w:r>
      <w:r w:rsidR="004D1466">
        <w:t>8,</w:t>
      </w:r>
      <w:r w:rsidR="00D61D0E">
        <w:t xml:space="preserve"> </w:t>
      </w:r>
      <w:r w:rsidR="004D1466">
        <w:t>18</w:t>
      </w:r>
      <w:r w:rsidR="00FA6649">
        <w:t>]</w:t>
      </w:r>
    </w:p>
    <w:p w14:paraId="3E44F284" w14:textId="77777777" w:rsidR="00A43DF0" w:rsidRDefault="004A1621" w:rsidP="007C2924">
      <w:pPr>
        <w:jc w:val="both"/>
        <w:rPr>
          <w:rFonts w:ascii="Arial" w:hAnsi="Arial" w:cs="Arial"/>
          <w:sz w:val="20"/>
          <w:lang w:val="en-GB"/>
        </w:rPr>
      </w:pPr>
      <w:r>
        <w:rPr>
          <w:rFonts w:ascii="Arial" w:hAnsi="Arial" w:cs="Arial"/>
          <w:sz w:val="20"/>
          <w:lang w:val="en-GB"/>
        </w:rPr>
        <w:t xml:space="preserve">Considering the large cell size of non-terrestrial networks regardless of deployment, a potentially very large </w:t>
      </w:r>
      <w:r w:rsidR="00F261ED">
        <w:rPr>
          <w:rFonts w:ascii="Arial" w:hAnsi="Arial" w:cs="Arial"/>
          <w:sz w:val="20"/>
          <w:lang w:val="en-GB"/>
        </w:rPr>
        <w:t>number</w:t>
      </w:r>
      <w:r>
        <w:rPr>
          <w:rFonts w:ascii="Arial" w:hAnsi="Arial" w:cs="Arial"/>
          <w:sz w:val="20"/>
          <w:lang w:val="en-GB"/>
        </w:rPr>
        <w:t xml:space="preserve"> of devices may be served within a single beam.</w:t>
      </w:r>
      <w:r w:rsidR="00F261ED">
        <w:rPr>
          <w:rFonts w:ascii="Arial" w:hAnsi="Arial" w:cs="Arial"/>
          <w:sz w:val="20"/>
          <w:lang w:val="en-GB"/>
        </w:rPr>
        <w:t xml:space="preserve"> Due to movement of non-GEO satellites, </w:t>
      </w:r>
      <w:r w:rsidR="00A43DF0">
        <w:rPr>
          <w:rFonts w:ascii="Arial" w:hAnsi="Arial" w:cs="Arial"/>
          <w:sz w:val="20"/>
          <w:lang w:val="en-GB"/>
        </w:rPr>
        <w:t>two scenarios can occur which may cause a large number of UEs to hand over to a new cell:</w:t>
      </w:r>
    </w:p>
    <w:p w14:paraId="26F9D972" w14:textId="4220439C" w:rsidR="00A43DF0" w:rsidRDefault="00A43DF0" w:rsidP="00A43DF0">
      <w:pPr>
        <w:pStyle w:val="ListParagraph"/>
        <w:numPr>
          <w:ilvl w:val="0"/>
          <w:numId w:val="15"/>
        </w:numPr>
        <w:jc w:val="both"/>
        <w:rPr>
          <w:rFonts w:ascii="Arial" w:hAnsi="Arial" w:cs="Arial"/>
          <w:sz w:val="20"/>
          <w:lang w:val="en-GB"/>
        </w:rPr>
      </w:pPr>
      <w:r w:rsidRPr="003F5B78">
        <w:rPr>
          <w:rFonts w:ascii="Arial" w:hAnsi="Arial" w:cs="Arial"/>
          <w:b/>
          <w:sz w:val="20"/>
          <w:lang w:val="en-GB"/>
        </w:rPr>
        <w:t>Feeder-Link switch for transparent non-GEO satellites (scenarios C1 and C2):</w:t>
      </w:r>
      <w:r>
        <w:rPr>
          <w:rFonts w:ascii="Arial" w:hAnsi="Arial" w:cs="Arial"/>
          <w:sz w:val="20"/>
          <w:lang w:val="en-GB"/>
        </w:rPr>
        <w:t xml:space="preserve"> As listed in the TR, during a feeder link switch the PCI/SSB of an entire satellite must change when transitioning from one ground-based gNB to another. This will require all UEs currently served by a satellite to handover to the new </w:t>
      </w:r>
      <w:r w:rsidR="003F5B78">
        <w:rPr>
          <w:rFonts w:ascii="Arial" w:hAnsi="Arial" w:cs="Arial"/>
          <w:sz w:val="20"/>
          <w:lang w:val="en-GB"/>
        </w:rPr>
        <w:t>gNB.</w:t>
      </w:r>
    </w:p>
    <w:p w14:paraId="6ACE82AC" w14:textId="60EC54CC" w:rsidR="003F5B78" w:rsidRPr="003F5B78" w:rsidRDefault="003F5B78" w:rsidP="003F5B78">
      <w:pPr>
        <w:pStyle w:val="ListParagraph"/>
        <w:numPr>
          <w:ilvl w:val="0"/>
          <w:numId w:val="15"/>
        </w:numPr>
        <w:jc w:val="both"/>
        <w:rPr>
          <w:rFonts w:ascii="Arial" w:hAnsi="Arial" w:cs="Arial"/>
          <w:sz w:val="20"/>
          <w:lang w:val="en-GB"/>
        </w:rPr>
      </w:pPr>
      <w:r w:rsidRPr="003F5B78">
        <w:rPr>
          <w:rFonts w:ascii="Arial" w:hAnsi="Arial" w:cs="Arial"/>
          <w:b/>
          <w:sz w:val="20"/>
          <w:lang w:val="en-GB"/>
        </w:rPr>
        <w:t>Satellite change for a group of UEs in a beam steered non-GEO deployment, (scenarios C1 and D1) where the PCI/SSB is specific to a satellite:</w:t>
      </w:r>
      <w:r>
        <w:rPr>
          <w:rFonts w:ascii="Arial" w:hAnsi="Arial" w:cs="Arial"/>
          <w:sz w:val="20"/>
          <w:lang w:val="en-GB"/>
        </w:rPr>
        <w:t xml:space="preserve"> Due to movement of satellites in non-GEO deployments, once a satellite is no longer the best candidate to serve a given geographic location, an incoming satellite will take over and provide service to that area. Should the satellites be beam-steered, this change may be abrupt, and the group of UEs within that geographic area (e.g. the footprint of a beam) will need to hand-over to the incoming satellite.</w:t>
      </w:r>
    </w:p>
    <w:p w14:paraId="4C17B0DF" w14:textId="2419F9AC" w:rsidR="000B698F" w:rsidRDefault="00F249AA" w:rsidP="007C2924">
      <w:pPr>
        <w:jc w:val="both"/>
        <w:rPr>
          <w:rFonts w:ascii="Arial" w:hAnsi="Arial" w:cs="Arial"/>
          <w:sz w:val="20"/>
        </w:rPr>
      </w:pPr>
      <w:r>
        <w:rPr>
          <w:rFonts w:ascii="Arial" w:hAnsi="Arial" w:cs="Arial"/>
          <w:sz w:val="20"/>
          <w:lang w:val="en-GB"/>
        </w:rPr>
        <w:t xml:space="preserve">A potential solution for the feeder-link switch has been incorporated in the TR where the satellite would broadcast the PCI/SSBs of multiple </w:t>
      </w:r>
      <w:proofErr w:type="spellStart"/>
      <w:r>
        <w:rPr>
          <w:rFonts w:ascii="Arial" w:hAnsi="Arial" w:cs="Arial"/>
          <w:sz w:val="20"/>
          <w:lang w:val="en-GB"/>
        </w:rPr>
        <w:t>gNBs</w:t>
      </w:r>
      <w:proofErr w:type="spellEnd"/>
      <w:r>
        <w:rPr>
          <w:rFonts w:ascii="Arial" w:hAnsi="Arial" w:cs="Arial"/>
          <w:sz w:val="20"/>
          <w:lang w:val="en-GB"/>
        </w:rPr>
        <w:t xml:space="preserve"> prior to the feeder-link switch</w:t>
      </w:r>
      <w:r w:rsidR="003F5B78">
        <w:rPr>
          <w:rFonts w:ascii="Arial" w:hAnsi="Arial" w:cs="Arial"/>
          <w:sz w:val="20"/>
          <w:lang w:val="en-GB"/>
        </w:rPr>
        <w:t>, possibly allowing UEs sufficient time to hand over to the new gNB relying on current Rel-15 mechanisms.</w:t>
      </w:r>
      <w:r>
        <w:rPr>
          <w:rFonts w:ascii="Arial" w:hAnsi="Arial" w:cs="Arial"/>
          <w:sz w:val="20"/>
          <w:lang w:val="en-GB"/>
        </w:rPr>
        <w:t xml:space="preserve"> </w:t>
      </w:r>
      <w:r w:rsidR="003F5B78">
        <w:rPr>
          <w:rFonts w:ascii="Arial" w:hAnsi="Arial" w:cs="Arial"/>
          <w:sz w:val="20"/>
          <w:lang w:val="en-GB"/>
        </w:rPr>
        <w:t xml:space="preserve">This solution however will not apply to scenario 2, as the physical channel will be different. For non-GEO deployments with regenerative and moving beams (scenario D2), there will be a </w:t>
      </w:r>
      <w:r w:rsidR="000E409B">
        <w:rPr>
          <w:rFonts w:ascii="Arial" w:hAnsi="Arial" w:cs="Arial"/>
          <w:sz w:val="20"/>
          <w:lang w:val="en-GB"/>
        </w:rPr>
        <w:t>region of overlap</w:t>
      </w:r>
      <w:r w:rsidR="003F5B78">
        <w:rPr>
          <w:rFonts w:ascii="Arial" w:hAnsi="Arial" w:cs="Arial"/>
          <w:sz w:val="20"/>
          <w:lang w:val="en-GB"/>
        </w:rPr>
        <w:t xml:space="preserve"> where the different PCI/SSBs will be visible to UEs</w:t>
      </w:r>
      <w:r w:rsidR="000E409B">
        <w:rPr>
          <w:rFonts w:ascii="Arial" w:hAnsi="Arial" w:cs="Arial"/>
          <w:sz w:val="20"/>
          <w:lang w:val="en-GB"/>
        </w:rPr>
        <w:t xml:space="preserve"> for a certain time, however depending on constellation assumptions (i.e. speed of movement and size of overlap) as well as issues noted in section 2.1.3 there may be </w:t>
      </w:r>
      <w:r w:rsidR="009E7405">
        <w:rPr>
          <w:rFonts w:ascii="Arial" w:hAnsi="Arial" w:cs="Arial"/>
          <w:sz w:val="20"/>
          <w:lang w:val="en-GB"/>
        </w:rPr>
        <w:t>challenges</w:t>
      </w:r>
      <w:r w:rsidR="000E409B">
        <w:rPr>
          <w:rFonts w:ascii="Arial" w:hAnsi="Arial" w:cs="Arial"/>
          <w:sz w:val="20"/>
          <w:lang w:val="en-GB"/>
        </w:rPr>
        <w:t xml:space="preserve"> as well. This scenario should, however, be down-prioritized. </w:t>
      </w:r>
    </w:p>
    <w:p w14:paraId="50431AF9" w14:textId="7845AA6A" w:rsidR="00992464" w:rsidRPr="00445468" w:rsidRDefault="00992464" w:rsidP="00772DCD">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8</w:t>
      </w:r>
      <w:r w:rsidRPr="00445468">
        <w:rPr>
          <w:rFonts w:ascii="Arial" w:hAnsi="Arial" w:cs="Arial"/>
          <w:b/>
          <w:sz w:val="20"/>
          <w:szCs w:val="20"/>
          <w:u w:val="single"/>
        </w:rPr>
        <w:t>:</w:t>
      </w:r>
      <w:r w:rsidRPr="00445468">
        <w:rPr>
          <w:rFonts w:ascii="Arial" w:hAnsi="Arial" w:cs="Arial"/>
          <w:sz w:val="20"/>
          <w:szCs w:val="20"/>
        </w:rPr>
        <w:tab/>
      </w:r>
      <w:r w:rsidR="00CB5C11">
        <w:rPr>
          <w:rFonts w:ascii="Arial" w:hAnsi="Arial" w:cs="Arial"/>
          <w:i/>
          <w:sz w:val="20"/>
          <w:szCs w:val="20"/>
        </w:rPr>
        <w:t>A change of cell information (i.e. PCI/SSB change) due to satellite movement in non-GEO scenarios may result in many UEs initiating mobility procedures over a short time window.</w:t>
      </w:r>
    </w:p>
    <w:p w14:paraId="27C24BB0" w14:textId="2FDD6411" w:rsidR="006D4EF8" w:rsidRPr="006D4EF8" w:rsidRDefault="00861685" w:rsidP="006D4EF8">
      <w:pPr>
        <w:pStyle w:val="Heading2"/>
      </w:pPr>
      <w:r>
        <w:t>Summary of challenges</w:t>
      </w:r>
      <w:r w:rsidR="006D4EF8">
        <w:t xml:space="preserve"> based on deployment scenario</w:t>
      </w:r>
    </w:p>
    <w:p w14:paraId="15025C7F" w14:textId="487FC609" w:rsidR="00861685" w:rsidRPr="00EC472C" w:rsidRDefault="00EC472C" w:rsidP="007C2924">
      <w:pPr>
        <w:jc w:val="both"/>
        <w:rPr>
          <w:rFonts w:ascii="Arial" w:hAnsi="Arial" w:cs="Arial"/>
          <w:sz w:val="20"/>
          <w:szCs w:val="20"/>
        </w:rPr>
      </w:pPr>
      <w:r>
        <w:rPr>
          <w:rFonts w:ascii="Arial" w:hAnsi="Arial" w:cs="Arial"/>
          <w:sz w:val="20"/>
          <w:szCs w:val="20"/>
        </w:rPr>
        <w:t xml:space="preserve">TR 38.821 lists </w:t>
      </w:r>
      <w:r w:rsidR="007E6A65">
        <w:rPr>
          <w:rFonts w:ascii="Arial" w:hAnsi="Arial" w:cs="Arial"/>
          <w:sz w:val="20"/>
          <w:szCs w:val="20"/>
        </w:rPr>
        <w:t>several</w:t>
      </w:r>
      <w:r>
        <w:rPr>
          <w:rFonts w:ascii="Arial" w:hAnsi="Arial" w:cs="Arial"/>
          <w:sz w:val="20"/>
          <w:szCs w:val="20"/>
        </w:rPr>
        <w:t xml:space="preserve"> possible deployment</w:t>
      </w:r>
      <w:r w:rsidRPr="00EC472C">
        <w:rPr>
          <w:rFonts w:ascii="Arial" w:hAnsi="Arial" w:cs="Arial"/>
          <w:sz w:val="20"/>
          <w:szCs w:val="20"/>
        </w:rPr>
        <w:t xml:space="preserve"> scenarios</w:t>
      </w:r>
      <w:r>
        <w:rPr>
          <w:rFonts w:ascii="Arial" w:hAnsi="Arial" w:cs="Arial"/>
          <w:sz w:val="20"/>
          <w:szCs w:val="20"/>
        </w:rPr>
        <w:t xml:space="preserve"> for non-terrestrial networks. Depending on the deployment scenario, certain challenges listed in section 2.1 may not apply, or may apply to a different </w:t>
      </w:r>
      <w:r>
        <w:rPr>
          <w:rFonts w:ascii="Arial" w:hAnsi="Arial" w:cs="Arial"/>
          <w:sz w:val="20"/>
          <w:szCs w:val="20"/>
        </w:rPr>
        <w:lastRenderedPageBreak/>
        <w:t>degree (e.g. latency to mobility signaling would be a greater challenge in scenario A than scenario D2). Table 1 provides a brief summary o</w:t>
      </w:r>
      <w:r w:rsidR="007B5115">
        <w:rPr>
          <w:rFonts w:ascii="Arial" w:hAnsi="Arial" w:cs="Arial"/>
          <w:sz w:val="20"/>
          <w:szCs w:val="20"/>
        </w:rPr>
        <w:t>f</w:t>
      </w:r>
      <w:r>
        <w:rPr>
          <w:rFonts w:ascii="Arial" w:hAnsi="Arial" w:cs="Arial"/>
          <w:sz w:val="20"/>
          <w:szCs w:val="20"/>
        </w:rPr>
        <w:t xml:space="preserve"> such challenges specific to each deployment scenario.</w:t>
      </w:r>
    </w:p>
    <w:p w14:paraId="5F05B366" w14:textId="107FDD1C" w:rsidR="00861685" w:rsidRPr="00861685" w:rsidRDefault="00861685" w:rsidP="00861685">
      <w:pPr>
        <w:jc w:val="center"/>
        <w:rPr>
          <w:rFonts w:ascii="Arial" w:hAnsi="Arial" w:cs="Arial"/>
          <w:b/>
          <w:sz w:val="20"/>
          <w:szCs w:val="20"/>
          <w:u w:val="single"/>
        </w:rPr>
      </w:pPr>
      <w:r>
        <w:rPr>
          <w:rFonts w:ascii="Arial" w:hAnsi="Arial" w:cs="Arial"/>
          <w:b/>
          <w:sz w:val="20"/>
          <w:szCs w:val="20"/>
          <w:u w:val="single"/>
        </w:rPr>
        <w:t xml:space="preserve">Table </w:t>
      </w:r>
      <w:r w:rsidR="004C713F">
        <w:rPr>
          <w:rFonts w:ascii="Arial" w:hAnsi="Arial" w:cs="Arial"/>
          <w:b/>
          <w:sz w:val="20"/>
          <w:szCs w:val="20"/>
          <w:u w:val="single"/>
        </w:rPr>
        <w:t xml:space="preserve">1: </w:t>
      </w:r>
      <w:r w:rsidR="007B5115">
        <w:rPr>
          <w:rFonts w:ascii="Arial" w:hAnsi="Arial" w:cs="Arial"/>
          <w:b/>
          <w:sz w:val="20"/>
          <w:szCs w:val="20"/>
          <w:u w:val="single"/>
        </w:rPr>
        <w:t>Summary of challenges</w:t>
      </w:r>
      <w:r w:rsidR="005D675A">
        <w:rPr>
          <w:rFonts w:ascii="Arial" w:hAnsi="Arial" w:cs="Arial"/>
          <w:b/>
          <w:sz w:val="20"/>
          <w:szCs w:val="20"/>
          <w:u w:val="single"/>
        </w:rPr>
        <w:t xml:space="preserve"> specific</w:t>
      </w:r>
      <w:r w:rsidR="007B5115">
        <w:rPr>
          <w:rFonts w:ascii="Arial" w:hAnsi="Arial" w:cs="Arial"/>
          <w:b/>
          <w:sz w:val="20"/>
          <w:szCs w:val="20"/>
          <w:u w:val="single"/>
        </w:rPr>
        <w:t xml:space="preserve"> to each deployment scenario.</w:t>
      </w:r>
    </w:p>
    <w:tbl>
      <w:tblPr>
        <w:tblStyle w:val="TableGrid"/>
        <w:tblW w:w="0" w:type="auto"/>
        <w:tblLook w:val="04A0" w:firstRow="1" w:lastRow="0" w:firstColumn="1" w:lastColumn="0" w:noHBand="0" w:noVBand="1"/>
      </w:tblPr>
      <w:tblGrid>
        <w:gridCol w:w="1438"/>
        <w:gridCol w:w="1228"/>
        <w:gridCol w:w="1328"/>
        <w:gridCol w:w="1339"/>
        <w:gridCol w:w="1339"/>
        <w:gridCol w:w="1339"/>
        <w:gridCol w:w="1339"/>
      </w:tblGrid>
      <w:tr w:rsidR="008314FC" w14:paraId="1D7994FA" w14:textId="57B9075D" w:rsidTr="004A1621">
        <w:tc>
          <w:tcPr>
            <w:tcW w:w="1438" w:type="dxa"/>
          </w:tcPr>
          <w:p w14:paraId="4CD62A46" w14:textId="0123CC67" w:rsidR="006D4EF8" w:rsidRDefault="006D4EF8" w:rsidP="007C2924">
            <w:pPr>
              <w:jc w:val="both"/>
              <w:rPr>
                <w:rFonts w:ascii="Arial" w:hAnsi="Arial" w:cs="Arial"/>
                <w:sz w:val="20"/>
                <w:szCs w:val="20"/>
                <w:u w:val="single"/>
              </w:rPr>
            </w:pPr>
            <w:r>
              <w:rPr>
                <w:rFonts w:ascii="Arial" w:hAnsi="Arial" w:cs="Arial"/>
                <w:sz w:val="20"/>
                <w:szCs w:val="20"/>
                <w:u w:val="single"/>
              </w:rPr>
              <w:t>Mobility Challenge</w:t>
            </w:r>
          </w:p>
        </w:tc>
        <w:tc>
          <w:tcPr>
            <w:tcW w:w="1228" w:type="dxa"/>
          </w:tcPr>
          <w:p w14:paraId="4F208E1B" w14:textId="413B43C9" w:rsidR="006D4EF8" w:rsidRDefault="002B1DC4" w:rsidP="002B1DC4">
            <w:pPr>
              <w:jc w:val="center"/>
              <w:rPr>
                <w:rFonts w:ascii="Arial" w:hAnsi="Arial" w:cs="Arial"/>
                <w:sz w:val="20"/>
                <w:szCs w:val="20"/>
                <w:u w:val="single"/>
              </w:rPr>
            </w:pPr>
            <w:r>
              <w:rPr>
                <w:rFonts w:ascii="Arial" w:hAnsi="Arial" w:cs="Arial"/>
                <w:sz w:val="20"/>
                <w:szCs w:val="20"/>
                <w:u w:val="single"/>
              </w:rPr>
              <w:t xml:space="preserve">A) </w:t>
            </w:r>
            <w:r w:rsidR="006D4EF8">
              <w:rPr>
                <w:rFonts w:ascii="Arial" w:hAnsi="Arial" w:cs="Arial"/>
                <w:sz w:val="20"/>
                <w:szCs w:val="20"/>
                <w:u w:val="single"/>
              </w:rPr>
              <w:t>GEO transparent</w:t>
            </w:r>
          </w:p>
        </w:tc>
        <w:tc>
          <w:tcPr>
            <w:tcW w:w="1328" w:type="dxa"/>
          </w:tcPr>
          <w:p w14:paraId="2EF87102" w14:textId="29253673" w:rsidR="006D4EF8" w:rsidRDefault="002B1DC4" w:rsidP="002B1DC4">
            <w:pPr>
              <w:jc w:val="center"/>
              <w:rPr>
                <w:rFonts w:ascii="Arial" w:hAnsi="Arial" w:cs="Arial"/>
                <w:sz w:val="20"/>
                <w:szCs w:val="20"/>
                <w:u w:val="single"/>
              </w:rPr>
            </w:pPr>
            <w:r>
              <w:rPr>
                <w:rFonts w:ascii="Arial" w:hAnsi="Arial" w:cs="Arial"/>
                <w:sz w:val="20"/>
                <w:szCs w:val="20"/>
                <w:u w:val="single"/>
              </w:rPr>
              <w:t xml:space="preserve">B) </w:t>
            </w:r>
            <w:r w:rsidR="006D4EF8">
              <w:rPr>
                <w:rFonts w:ascii="Arial" w:hAnsi="Arial" w:cs="Arial"/>
                <w:sz w:val="20"/>
                <w:szCs w:val="20"/>
                <w:u w:val="single"/>
              </w:rPr>
              <w:t>GEO regenerative</w:t>
            </w:r>
          </w:p>
        </w:tc>
        <w:tc>
          <w:tcPr>
            <w:tcW w:w="1339" w:type="dxa"/>
          </w:tcPr>
          <w:p w14:paraId="0C143358" w14:textId="75F8DF37" w:rsidR="006D4EF8" w:rsidRDefault="006D4EF8" w:rsidP="002B1DC4">
            <w:pPr>
              <w:jc w:val="center"/>
              <w:rPr>
                <w:rFonts w:ascii="Arial" w:hAnsi="Arial" w:cs="Arial"/>
                <w:sz w:val="20"/>
                <w:szCs w:val="20"/>
                <w:u w:val="single"/>
              </w:rPr>
            </w:pPr>
            <w:r>
              <w:rPr>
                <w:rFonts w:ascii="Arial" w:hAnsi="Arial" w:cs="Arial"/>
                <w:sz w:val="20"/>
                <w:szCs w:val="20"/>
                <w:u w:val="single"/>
              </w:rPr>
              <w:t>C1</w:t>
            </w:r>
            <w:r w:rsidR="002B1DC4">
              <w:rPr>
                <w:rFonts w:ascii="Arial" w:hAnsi="Arial" w:cs="Arial"/>
                <w:sz w:val="20"/>
                <w:szCs w:val="20"/>
                <w:u w:val="single"/>
              </w:rPr>
              <w:t xml:space="preserve">) </w:t>
            </w:r>
            <w:r>
              <w:rPr>
                <w:rFonts w:ascii="Arial" w:hAnsi="Arial" w:cs="Arial"/>
                <w:sz w:val="20"/>
                <w:szCs w:val="20"/>
                <w:u w:val="single"/>
              </w:rPr>
              <w:t>LEO steerable transparent</w:t>
            </w:r>
          </w:p>
        </w:tc>
        <w:tc>
          <w:tcPr>
            <w:tcW w:w="1339" w:type="dxa"/>
          </w:tcPr>
          <w:p w14:paraId="63C619F1" w14:textId="289A2E80" w:rsidR="006D4EF8" w:rsidRDefault="006D4EF8" w:rsidP="002B1DC4">
            <w:pPr>
              <w:jc w:val="center"/>
              <w:rPr>
                <w:rFonts w:ascii="Arial" w:hAnsi="Arial" w:cs="Arial"/>
                <w:sz w:val="20"/>
                <w:szCs w:val="20"/>
                <w:u w:val="single"/>
              </w:rPr>
            </w:pPr>
            <w:r>
              <w:rPr>
                <w:rFonts w:ascii="Arial" w:hAnsi="Arial" w:cs="Arial"/>
                <w:sz w:val="20"/>
                <w:szCs w:val="20"/>
                <w:u w:val="single"/>
              </w:rPr>
              <w:t>C2</w:t>
            </w:r>
            <w:r w:rsidR="002B1DC4">
              <w:rPr>
                <w:rFonts w:ascii="Arial" w:hAnsi="Arial" w:cs="Arial"/>
                <w:sz w:val="20"/>
                <w:szCs w:val="20"/>
                <w:u w:val="single"/>
              </w:rPr>
              <w:t xml:space="preserve">) </w:t>
            </w:r>
            <w:r>
              <w:rPr>
                <w:rFonts w:ascii="Arial" w:hAnsi="Arial" w:cs="Arial"/>
                <w:sz w:val="20"/>
                <w:szCs w:val="20"/>
                <w:u w:val="single"/>
              </w:rPr>
              <w:t>LEO</w:t>
            </w:r>
          </w:p>
          <w:p w14:paraId="53AC9015" w14:textId="7C9ADD4D" w:rsidR="002B1DC4" w:rsidRDefault="002B1DC4" w:rsidP="002B1DC4">
            <w:pPr>
              <w:jc w:val="center"/>
              <w:rPr>
                <w:rFonts w:ascii="Arial" w:hAnsi="Arial" w:cs="Arial"/>
                <w:sz w:val="20"/>
                <w:szCs w:val="20"/>
                <w:u w:val="single"/>
              </w:rPr>
            </w:pPr>
            <w:r>
              <w:rPr>
                <w:rFonts w:ascii="Arial" w:hAnsi="Arial" w:cs="Arial"/>
                <w:sz w:val="20"/>
                <w:szCs w:val="20"/>
                <w:u w:val="single"/>
              </w:rPr>
              <w:t>moving</w:t>
            </w:r>
          </w:p>
          <w:p w14:paraId="7E0273BB" w14:textId="1A48953E" w:rsidR="002B1DC4" w:rsidRDefault="002B1DC4" w:rsidP="002B1DC4">
            <w:pPr>
              <w:jc w:val="center"/>
              <w:rPr>
                <w:rFonts w:ascii="Arial" w:hAnsi="Arial" w:cs="Arial"/>
                <w:sz w:val="20"/>
                <w:szCs w:val="20"/>
                <w:u w:val="single"/>
              </w:rPr>
            </w:pPr>
            <w:r>
              <w:rPr>
                <w:rFonts w:ascii="Arial" w:hAnsi="Arial" w:cs="Arial"/>
                <w:sz w:val="20"/>
                <w:szCs w:val="20"/>
                <w:u w:val="single"/>
              </w:rPr>
              <w:t>transparent</w:t>
            </w:r>
          </w:p>
        </w:tc>
        <w:tc>
          <w:tcPr>
            <w:tcW w:w="1339" w:type="dxa"/>
          </w:tcPr>
          <w:p w14:paraId="3F1ED90D" w14:textId="02BC3830" w:rsidR="006D4EF8" w:rsidRDefault="006D4EF8" w:rsidP="002B1DC4">
            <w:pPr>
              <w:jc w:val="center"/>
              <w:rPr>
                <w:rFonts w:ascii="Arial" w:hAnsi="Arial" w:cs="Arial"/>
                <w:sz w:val="20"/>
                <w:szCs w:val="20"/>
                <w:u w:val="single"/>
              </w:rPr>
            </w:pPr>
            <w:r>
              <w:rPr>
                <w:rFonts w:ascii="Arial" w:hAnsi="Arial" w:cs="Arial"/>
                <w:sz w:val="20"/>
                <w:szCs w:val="20"/>
                <w:u w:val="single"/>
              </w:rPr>
              <w:t>D1</w:t>
            </w:r>
            <w:r w:rsidR="002B1DC4">
              <w:rPr>
                <w:rFonts w:ascii="Arial" w:hAnsi="Arial" w:cs="Arial"/>
                <w:sz w:val="20"/>
                <w:szCs w:val="20"/>
                <w:u w:val="single"/>
              </w:rPr>
              <w:t>) LEO steerable regenerative</w:t>
            </w:r>
          </w:p>
        </w:tc>
        <w:tc>
          <w:tcPr>
            <w:tcW w:w="1339" w:type="dxa"/>
          </w:tcPr>
          <w:p w14:paraId="705C6F99" w14:textId="5F135C25" w:rsidR="002B1DC4" w:rsidRDefault="006D4EF8" w:rsidP="002B1DC4">
            <w:pPr>
              <w:jc w:val="center"/>
              <w:rPr>
                <w:rFonts w:ascii="Arial" w:hAnsi="Arial" w:cs="Arial"/>
                <w:sz w:val="20"/>
                <w:szCs w:val="20"/>
                <w:u w:val="single"/>
              </w:rPr>
            </w:pPr>
            <w:r>
              <w:rPr>
                <w:rFonts w:ascii="Arial" w:hAnsi="Arial" w:cs="Arial"/>
                <w:sz w:val="20"/>
                <w:szCs w:val="20"/>
                <w:u w:val="single"/>
              </w:rPr>
              <w:t>D2</w:t>
            </w:r>
            <w:r w:rsidR="002B1DC4">
              <w:rPr>
                <w:rFonts w:ascii="Arial" w:hAnsi="Arial" w:cs="Arial"/>
                <w:sz w:val="20"/>
                <w:szCs w:val="20"/>
                <w:u w:val="single"/>
              </w:rPr>
              <w:t>)</w:t>
            </w:r>
            <w:r w:rsidR="00D201F2">
              <w:rPr>
                <w:rFonts w:ascii="Arial" w:hAnsi="Arial" w:cs="Arial"/>
                <w:sz w:val="20"/>
                <w:szCs w:val="20"/>
                <w:u w:val="single"/>
              </w:rPr>
              <w:t xml:space="preserve"> </w:t>
            </w:r>
            <w:r w:rsidR="002B1DC4">
              <w:rPr>
                <w:rFonts w:ascii="Arial" w:hAnsi="Arial" w:cs="Arial"/>
                <w:sz w:val="20"/>
                <w:szCs w:val="20"/>
                <w:u w:val="single"/>
              </w:rPr>
              <w:t>LEO moving regenerative</w:t>
            </w:r>
          </w:p>
        </w:tc>
      </w:tr>
      <w:tr w:rsidR="008314FC" w14:paraId="637C6323" w14:textId="2532213E" w:rsidTr="004A1621">
        <w:tc>
          <w:tcPr>
            <w:tcW w:w="1438" w:type="dxa"/>
          </w:tcPr>
          <w:p w14:paraId="5C54F8B6" w14:textId="3D90C95B" w:rsidR="006D4EF8" w:rsidRPr="006D4EF8" w:rsidRDefault="006D4EF8" w:rsidP="006D4EF8">
            <w:pPr>
              <w:rPr>
                <w:rFonts w:ascii="Arial" w:hAnsi="Arial" w:cs="Arial"/>
                <w:sz w:val="20"/>
                <w:szCs w:val="20"/>
              </w:rPr>
            </w:pPr>
            <w:r w:rsidRPr="006D4EF8">
              <w:rPr>
                <w:rFonts w:ascii="Arial" w:hAnsi="Arial" w:cs="Arial"/>
                <w:sz w:val="20"/>
                <w:szCs w:val="20"/>
              </w:rPr>
              <w:t>Latency to Mobility Signalling</w:t>
            </w:r>
          </w:p>
        </w:tc>
        <w:tc>
          <w:tcPr>
            <w:tcW w:w="1228" w:type="dxa"/>
          </w:tcPr>
          <w:p w14:paraId="37DF66ED" w14:textId="77777777" w:rsidR="008314FC" w:rsidRDefault="008314FC" w:rsidP="008314FC">
            <w:pPr>
              <w:jc w:val="both"/>
              <w:rPr>
                <w:rFonts w:ascii="Arial" w:hAnsi="Arial" w:cs="Arial"/>
                <w:sz w:val="20"/>
                <w:szCs w:val="20"/>
              </w:rPr>
            </w:pPr>
            <w:r>
              <w:rPr>
                <w:rFonts w:ascii="Arial" w:hAnsi="Arial" w:cs="Arial"/>
                <w:sz w:val="20"/>
                <w:szCs w:val="20"/>
              </w:rPr>
              <w:t xml:space="preserve">Yes </w:t>
            </w:r>
          </w:p>
          <w:p w14:paraId="42D6394E" w14:textId="0C446B92" w:rsidR="008314FC" w:rsidRPr="002B1DC4" w:rsidRDefault="008314FC" w:rsidP="008314FC">
            <w:pPr>
              <w:jc w:val="both"/>
              <w:rPr>
                <w:rFonts w:ascii="Arial" w:hAnsi="Arial" w:cs="Arial"/>
                <w:sz w:val="20"/>
                <w:szCs w:val="20"/>
              </w:rPr>
            </w:pPr>
            <w:r>
              <w:rPr>
                <w:rFonts w:ascii="Arial" w:hAnsi="Arial" w:cs="Arial"/>
                <w:sz w:val="20"/>
                <w:szCs w:val="20"/>
              </w:rPr>
              <w:t>(high priority)</w:t>
            </w:r>
          </w:p>
        </w:tc>
        <w:tc>
          <w:tcPr>
            <w:tcW w:w="1328" w:type="dxa"/>
          </w:tcPr>
          <w:p w14:paraId="77A190FF" w14:textId="77777777" w:rsidR="008314FC" w:rsidRDefault="008314FC" w:rsidP="007C2924">
            <w:pPr>
              <w:jc w:val="both"/>
              <w:rPr>
                <w:rFonts w:ascii="Arial" w:hAnsi="Arial" w:cs="Arial"/>
                <w:sz w:val="20"/>
                <w:szCs w:val="20"/>
              </w:rPr>
            </w:pPr>
            <w:r>
              <w:rPr>
                <w:rFonts w:ascii="Arial" w:hAnsi="Arial" w:cs="Arial"/>
                <w:sz w:val="20"/>
                <w:szCs w:val="20"/>
              </w:rPr>
              <w:t xml:space="preserve">Yes </w:t>
            </w:r>
          </w:p>
          <w:p w14:paraId="2F614159" w14:textId="3BB3B132" w:rsidR="006D4EF8" w:rsidRPr="002B1DC4" w:rsidRDefault="008314FC" w:rsidP="007C2924">
            <w:pPr>
              <w:jc w:val="both"/>
              <w:rPr>
                <w:rFonts w:ascii="Arial" w:hAnsi="Arial" w:cs="Arial"/>
                <w:sz w:val="20"/>
                <w:szCs w:val="20"/>
              </w:rPr>
            </w:pPr>
            <w:r>
              <w:rPr>
                <w:rFonts w:ascii="Arial" w:hAnsi="Arial" w:cs="Arial"/>
                <w:sz w:val="20"/>
                <w:szCs w:val="20"/>
              </w:rPr>
              <w:t>(high priority)</w:t>
            </w:r>
          </w:p>
        </w:tc>
        <w:tc>
          <w:tcPr>
            <w:tcW w:w="1339" w:type="dxa"/>
          </w:tcPr>
          <w:p w14:paraId="4114CF45" w14:textId="4F4E5997" w:rsidR="006D4EF8" w:rsidRPr="002B1DC4" w:rsidRDefault="008314FC" w:rsidP="007C2924">
            <w:pPr>
              <w:jc w:val="both"/>
              <w:rPr>
                <w:rFonts w:ascii="Arial" w:hAnsi="Arial" w:cs="Arial"/>
                <w:sz w:val="20"/>
                <w:szCs w:val="20"/>
              </w:rPr>
            </w:pPr>
            <w:r>
              <w:rPr>
                <w:rFonts w:ascii="Arial" w:hAnsi="Arial" w:cs="Arial"/>
                <w:sz w:val="20"/>
                <w:szCs w:val="20"/>
              </w:rPr>
              <w:t>Yes (medium priority)</w:t>
            </w:r>
          </w:p>
        </w:tc>
        <w:tc>
          <w:tcPr>
            <w:tcW w:w="1339" w:type="dxa"/>
          </w:tcPr>
          <w:p w14:paraId="56605F09" w14:textId="5626C029" w:rsidR="006D4EF8" w:rsidRPr="002B1DC4" w:rsidRDefault="008314FC" w:rsidP="007C2924">
            <w:pPr>
              <w:jc w:val="both"/>
              <w:rPr>
                <w:rFonts w:ascii="Arial" w:hAnsi="Arial" w:cs="Arial"/>
                <w:sz w:val="20"/>
                <w:szCs w:val="20"/>
              </w:rPr>
            </w:pPr>
            <w:r>
              <w:rPr>
                <w:rFonts w:ascii="Arial" w:hAnsi="Arial" w:cs="Arial"/>
                <w:sz w:val="20"/>
                <w:szCs w:val="20"/>
              </w:rPr>
              <w:t>Yes (medium priority)</w:t>
            </w:r>
          </w:p>
        </w:tc>
        <w:tc>
          <w:tcPr>
            <w:tcW w:w="1339" w:type="dxa"/>
          </w:tcPr>
          <w:p w14:paraId="11D535E3" w14:textId="77777777" w:rsidR="008314FC" w:rsidRDefault="008314FC" w:rsidP="007C2924">
            <w:pPr>
              <w:jc w:val="both"/>
              <w:rPr>
                <w:rFonts w:ascii="Arial" w:hAnsi="Arial" w:cs="Arial"/>
                <w:sz w:val="20"/>
                <w:szCs w:val="20"/>
              </w:rPr>
            </w:pPr>
            <w:r>
              <w:rPr>
                <w:rFonts w:ascii="Arial" w:hAnsi="Arial" w:cs="Arial"/>
                <w:sz w:val="20"/>
                <w:szCs w:val="20"/>
              </w:rPr>
              <w:t xml:space="preserve">Yes </w:t>
            </w:r>
          </w:p>
          <w:p w14:paraId="4A2AB55C" w14:textId="107C765B" w:rsidR="006D4EF8" w:rsidRPr="002B1DC4" w:rsidRDefault="008314FC" w:rsidP="007C2924">
            <w:pPr>
              <w:jc w:val="both"/>
              <w:rPr>
                <w:rFonts w:ascii="Arial" w:hAnsi="Arial" w:cs="Arial"/>
                <w:sz w:val="20"/>
                <w:szCs w:val="20"/>
              </w:rPr>
            </w:pPr>
            <w:r>
              <w:rPr>
                <w:rFonts w:ascii="Arial" w:hAnsi="Arial" w:cs="Arial"/>
                <w:sz w:val="20"/>
                <w:szCs w:val="20"/>
              </w:rPr>
              <w:t>(lower priority)</w:t>
            </w:r>
          </w:p>
        </w:tc>
        <w:tc>
          <w:tcPr>
            <w:tcW w:w="1339" w:type="dxa"/>
          </w:tcPr>
          <w:p w14:paraId="07A0E828" w14:textId="77777777" w:rsidR="008314FC" w:rsidRDefault="008314FC" w:rsidP="008314FC">
            <w:pPr>
              <w:jc w:val="both"/>
              <w:rPr>
                <w:rFonts w:ascii="Arial" w:hAnsi="Arial" w:cs="Arial"/>
                <w:sz w:val="20"/>
                <w:szCs w:val="20"/>
              </w:rPr>
            </w:pPr>
            <w:r>
              <w:rPr>
                <w:rFonts w:ascii="Arial" w:hAnsi="Arial" w:cs="Arial"/>
                <w:sz w:val="20"/>
                <w:szCs w:val="20"/>
              </w:rPr>
              <w:t xml:space="preserve">Yes </w:t>
            </w:r>
          </w:p>
          <w:p w14:paraId="0F32074A" w14:textId="42F6FC68" w:rsidR="006D4EF8" w:rsidRPr="002B1DC4" w:rsidRDefault="008314FC" w:rsidP="008314FC">
            <w:pPr>
              <w:jc w:val="both"/>
              <w:rPr>
                <w:rFonts w:ascii="Arial" w:hAnsi="Arial" w:cs="Arial"/>
                <w:sz w:val="20"/>
                <w:szCs w:val="20"/>
              </w:rPr>
            </w:pPr>
            <w:r>
              <w:rPr>
                <w:rFonts w:ascii="Arial" w:hAnsi="Arial" w:cs="Arial"/>
                <w:sz w:val="20"/>
                <w:szCs w:val="20"/>
              </w:rPr>
              <w:t>(lower priority)</w:t>
            </w:r>
          </w:p>
        </w:tc>
      </w:tr>
      <w:tr w:rsidR="008314FC" w14:paraId="5FF64242" w14:textId="0D4E6B77" w:rsidTr="004A1621">
        <w:tc>
          <w:tcPr>
            <w:tcW w:w="1438" w:type="dxa"/>
          </w:tcPr>
          <w:p w14:paraId="35F411F4" w14:textId="32B24294" w:rsidR="006D4EF8" w:rsidRPr="006D4EF8" w:rsidRDefault="008314FC" w:rsidP="006D4EF8">
            <w:pPr>
              <w:rPr>
                <w:rFonts w:ascii="Arial" w:hAnsi="Arial" w:cs="Arial"/>
                <w:sz w:val="20"/>
                <w:szCs w:val="20"/>
              </w:rPr>
            </w:pPr>
            <w:r>
              <w:rPr>
                <w:rFonts w:ascii="Arial" w:hAnsi="Arial" w:cs="Arial"/>
                <w:sz w:val="20"/>
                <w:szCs w:val="20"/>
              </w:rPr>
              <w:t>Measureme</w:t>
            </w:r>
            <w:r w:rsidR="00AD691D">
              <w:rPr>
                <w:rFonts w:ascii="Arial" w:hAnsi="Arial" w:cs="Arial"/>
                <w:sz w:val="20"/>
                <w:szCs w:val="20"/>
              </w:rPr>
              <w:t>n</w:t>
            </w:r>
            <w:r>
              <w:rPr>
                <w:rFonts w:ascii="Arial" w:hAnsi="Arial" w:cs="Arial"/>
                <w:sz w:val="20"/>
                <w:szCs w:val="20"/>
              </w:rPr>
              <w:t>t Validity</w:t>
            </w:r>
          </w:p>
        </w:tc>
        <w:tc>
          <w:tcPr>
            <w:tcW w:w="1228" w:type="dxa"/>
          </w:tcPr>
          <w:p w14:paraId="6F61881E" w14:textId="281182CB"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28" w:type="dxa"/>
          </w:tcPr>
          <w:p w14:paraId="0BAFD5DF" w14:textId="465114FC"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73AC7FEF" w14:textId="7C33D067"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3BB4EF4E" w14:textId="20D5783C"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274D6A5D" w14:textId="15773CD3"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147D75F2" w14:textId="3801BE77"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03D35226" w14:textId="2C2283DB" w:rsidTr="004A1621">
        <w:tc>
          <w:tcPr>
            <w:tcW w:w="1438" w:type="dxa"/>
          </w:tcPr>
          <w:p w14:paraId="0558BAF7" w14:textId="6D9BC52F" w:rsidR="006D4EF8" w:rsidRPr="006D4EF8" w:rsidRDefault="008314FC" w:rsidP="006D4EF8">
            <w:pPr>
              <w:rPr>
                <w:rFonts w:ascii="Arial" w:hAnsi="Arial" w:cs="Arial"/>
                <w:sz w:val="20"/>
                <w:szCs w:val="20"/>
              </w:rPr>
            </w:pPr>
            <w:r>
              <w:rPr>
                <w:rFonts w:ascii="Arial" w:hAnsi="Arial" w:cs="Arial"/>
                <w:sz w:val="20"/>
                <w:szCs w:val="20"/>
              </w:rPr>
              <w:t>Cell overlap and the near-far effect</w:t>
            </w:r>
          </w:p>
        </w:tc>
        <w:tc>
          <w:tcPr>
            <w:tcW w:w="1228" w:type="dxa"/>
          </w:tcPr>
          <w:p w14:paraId="3809592B" w14:textId="57331FE7"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28" w:type="dxa"/>
          </w:tcPr>
          <w:p w14:paraId="59AE8C61" w14:textId="56092FD2"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184C4333" w14:textId="77C42C2E"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40BACCD3" w14:textId="131E0CD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59509790" w14:textId="634178CB"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43293237" w14:textId="3329A8E1"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5FB14560" w14:textId="1E7830AA" w:rsidTr="004A1621">
        <w:tc>
          <w:tcPr>
            <w:tcW w:w="1438" w:type="dxa"/>
          </w:tcPr>
          <w:p w14:paraId="5D031F52" w14:textId="1DBA0365" w:rsidR="006D4EF8" w:rsidRPr="006D4EF8" w:rsidRDefault="006D4EF8" w:rsidP="006D4EF8">
            <w:pPr>
              <w:rPr>
                <w:rFonts w:ascii="Arial" w:hAnsi="Arial" w:cs="Arial"/>
                <w:sz w:val="20"/>
                <w:szCs w:val="20"/>
              </w:rPr>
            </w:pPr>
            <w:r w:rsidRPr="006D4EF8">
              <w:rPr>
                <w:rFonts w:ascii="Arial" w:hAnsi="Arial" w:cs="Arial"/>
                <w:sz w:val="20"/>
                <w:szCs w:val="20"/>
              </w:rPr>
              <w:t>Frequency of Handover</w:t>
            </w:r>
          </w:p>
        </w:tc>
        <w:tc>
          <w:tcPr>
            <w:tcW w:w="1228" w:type="dxa"/>
          </w:tcPr>
          <w:p w14:paraId="5BD56A60" w14:textId="4E5A3BA2" w:rsidR="006D4EF8" w:rsidRPr="002B1DC4" w:rsidRDefault="008314FC" w:rsidP="007C2924">
            <w:pPr>
              <w:jc w:val="both"/>
              <w:rPr>
                <w:rFonts w:ascii="Arial" w:hAnsi="Arial" w:cs="Arial"/>
                <w:sz w:val="20"/>
                <w:szCs w:val="20"/>
              </w:rPr>
            </w:pPr>
            <w:r>
              <w:rPr>
                <w:rFonts w:ascii="Arial" w:hAnsi="Arial" w:cs="Arial"/>
                <w:sz w:val="20"/>
                <w:szCs w:val="20"/>
              </w:rPr>
              <w:t>No</w:t>
            </w:r>
          </w:p>
        </w:tc>
        <w:tc>
          <w:tcPr>
            <w:tcW w:w="1328" w:type="dxa"/>
          </w:tcPr>
          <w:p w14:paraId="255EB9B2" w14:textId="20452D9B" w:rsidR="006D4EF8" w:rsidRPr="002B1DC4" w:rsidRDefault="008314FC" w:rsidP="007C2924">
            <w:pPr>
              <w:jc w:val="both"/>
              <w:rPr>
                <w:rFonts w:ascii="Arial" w:hAnsi="Arial" w:cs="Arial"/>
                <w:sz w:val="20"/>
                <w:szCs w:val="20"/>
              </w:rPr>
            </w:pPr>
            <w:r>
              <w:rPr>
                <w:rFonts w:ascii="Arial" w:hAnsi="Arial" w:cs="Arial"/>
                <w:sz w:val="20"/>
                <w:szCs w:val="20"/>
              </w:rPr>
              <w:t>No</w:t>
            </w:r>
          </w:p>
        </w:tc>
        <w:tc>
          <w:tcPr>
            <w:tcW w:w="1339" w:type="dxa"/>
          </w:tcPr>
          <w:p w14:paraId="3E06ACD1" w14:textId="6ECC720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2120AEE3" w14:textId="2145DADD"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7DE1EF96" w14:textId="20B0353A" w:rsidR="006D4EF8" w:rsidRPr="002B1DC4" w:rsidRDefault="008314FC" w:rsidP="007C2924">
            <w:pPr>
              <w:jc w:val="both"/>
              <w:rPr>
                <w:rFonts w:ascii="Arial" w:hAnsi="Arial" w:cs="Arial"/>
                <w:sz w:val="20"/>
                <w:szCs w:val="20"/>
              </w:rPr>
            </w:pPr>
            <w:r>
              <w:rPr>
                <w:rFonts w:ascii="Arial" w:hAnsi="Arial" w:cs="Arial"/>
                <w:sz w:val="20"/>
                <w:szCs w:val="20"/>
              </w:rPr>
              <w:t>Yes</w:t>
            </w:r>
          </w:p>
        </w:tc>
        <w:tc>
          <w:tcPr>
            <w:tcW w:w="1339" w:type="dxa"/>
          </w:tcPr>
          <w:p w14:paraId="03EFA495" w14:textId="6FBA69AB" w:rsidR="006D4EF8" w:rsidRPr="002B1DC4" w:rsidRDefault="008314FC" w:rsidP="007C2924">
            <w:pPr>
              <w:jc w:val="both"/>
              <w:rPr>
                <w:rFonts w:ascii="Arial" w:hAnsi="Arial" w:cs="Arial"/>
                <w:sz w:val="20"/>
                <w:szCs w:val="20"/>
              </w:rPr>
            </w:pPr>
            <w:r>
              <w:rPr>
                <w:rFonts w:ascii="Arial" w:hAnsi="Arial" w:cs="Arial"/>
                <w:sz w:val="20"/>
                <w:szCs w:val="20"/>
              </w:rPr>
              <w:t>Yes</w:t>
            </w:r>
          </w:p>
        </w:tc>
      </w:tr>
      <w:tr w:rsidR="008314FC" w14:paraId="1D7A8692" w14:textId="485CE1A5" w:rsidTr="004A1621">
        <w:tc>
          <w:tcPr>
            <w:tcW w:w="1438" w:type="dxa"/>
          </w:tcPr>
          <w:p w14:paraId="3D56052E" w14:textId="1FEAA22E" w:rsidR="006D4EF8" w:rsidRPr="006D4EF8" w:rsidRDefault="008314FC" w:rsidP="006D4EF8">
            <w:pPr>
              <w:rPr>
                <w:rFonts w:ascii="Arial" w:hAnsi="Arial" w:cs="Arial"/>
                <w:sz w:val="20"/>
                <w:szCs w:val="20"/>
              </w:rPr>
            </w:pPr>
            <w:r>
              <w:rPr>
                <w:rFonts w:ascii="Arial" w:hAnsi="Arial" w:cs="Arial"/>
                <w:sz w:val="20"/>
                <w:szCs w:val="20"/>
              </w:rPr>
              <w:t>Dynamic neighbor cell set</w:t>
            </w:r>
          </w:p>
        </w:tc>
        <w:tc>
          <w:tcPr>
            <w:tcW w:w="1228" w:type="dxa"/>
          </w:tcPr>
          <w:p w14:paraId="28118EBA" w14:textId="3554D831" w:rsidR="006D4EF8" w:rsidRPr="002B1DC4" w:rsidRDefault="002B1DC4" w:rsidP="007C2924">
            <w:pPr>
              <w:jc w:val="both"/>
              <w:rPr>
                <w:rFonts w:ascii="Arial" w:hAnsi="Arial" w:cs="Arial"/>
                <w:sz w:val="20"/>
                <w:szCs w:val="20"/>
              </w:rPr>
            </w:pPr>
            <w:r w:rsidRPr="002B1DC4">
              <w:rPr>
                <w:rFonts w:ascii="Arial" w:hAnsi="Arial" w:cs="Arial"/>
                <w:sz w:val="20"/>
                <w:szCs w:val="20"/>
              </w:rPr>
              <w:t>N</w:t>
            </w:r>
            <w:r w:rsidR="008314FC">
              <w:rPr>
                <w:rFonts w:ascii="Arial" w:hAnsi="Arial" w:cs="Arial"/>
                <w:sz w:val="20"/>
                <w:szCs w:val="20"/>
              </w:rPr>
              <w:t>o</w:t>
            </w:r>
          </w:p>
        </w:tc>
        <w:tc>
          <w:tcPr>
            <w:tcW w:w="1328" w:type="dxa"/>
          </w:tcPr>
          <w:p w14:paraId="449D4751" w14:textId="441B76CC" w:rsidR="006D4EF8" w:rsidRPr="002B1DC4" w:rsidRDefault="002B1DC4" w:rsidP="007C2924">
            <w:pPr>
              <w:jc w:val="both"/>
              <w:rPr>
                <w:rFonts w:ascii="Arial" w:hAnsi="Arial" w:cs="Arial"/>
                <w:sz w:val="20"/>
                <w:szCs w:val="20"/>
              </w:rPr>
            </w:pPr>
            <w:r w:rsidRPr="002B1DC4">
              <w:rPr>
                <w:rFonts w:ascii="Arial" w:hAnsi="Arial" w:cs="Arial"/>
                <w:sz w:val="20"/>
                <w:szCs w:val="20"/>
              </w:rPr>
              <w:t>N</w:t>
            </w:r>
            <w:r w:rsidR="008314FC">
              <w:rPr>
                <w:rFonts w:ascii="Arial" w:hAnsi="Arial" w:cs="Arial"/>
                <w:sz w:val="20"/>
                <w:szCs w:val="20"/>
              </w:rPr>
              <w:t>o</w:t>
            </w:r>
          </w:p>
        </w:tc>
        <w:tc>
          <w:tcPr>
            <w:tcW w:w="1339" w:type="dxa"/>
          </w:tcPr>
          <w:p w14:paraId="60C5CEC8" w14:textId="55E2CC04"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1F9ABF20" w14:textId="036D0E65"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0EA2FAC1" w14:textId="09CDE354"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c>
          <w:tcPr>
            <w:tcW w:w="1339" w:type="dxa"/>
          </w:tcPr>
          <w:p w14:paraId="2E4942D8" w14:textId="3A96CE8E" w:rsidR="006D4EF8" w:rsidRPr="002B1DC4" w:rsidRDefault="008314FC" w:rsidP="007C2924">
            <w:pPr>
              <w:jc w:val="both"/>
              <w:rPr>
                <w:rFonts w:ascii="Arial" w:hAnsi="Arial" w:cs="Arial"/>
                <w:sz w:val="20"/>
                <w:szCs w:val="20"/>
              </w:rPr>
            </w:pPr>
            <w:r>
              <w:rPr>
                <w:rFonts w:ascii="Arial" w:hAnsi="Arial" w:cs="Arial"/>
                <w:sz w:val="20"/>
                <w:szCs w:val="20"/>
              </w:rPr>
              <w:t>Depends on deployment assumptions</w:t>
            </w:r>
          </w:p>
        </w:tc>
      </w:tr>
      <w:tr w:rsidR="004A1621" w14:paraId="13138656" w14:textId="4B963262" w:rsidTr="004A1621">
        <w:tc>
          <w:tcPr>
            <w:tcW w:w="1438" w:type="dxa"/>
          </w:tcPr>
          <w:p w14:paraId="00895B52" w14:textId="4D86D069" w:rsidR="004A1621" w:rsidRPr="006D4EF8" w:rsidRDefault="004A1621" w:rsidP="004A1621">
            <w:pPr>
              <w:rPr>
                <w:rFonts w:ascii="Arial" w:hAnsi="Arial" w:cs="Arial"/>
                <w:sz w:val="20"/>
                <w:szCs w:val="20"/>
              </w:rPr>
            </w:pPr>
            <w:r>
              <w:rPr>
                <w:rFonts w:ascii="Arial" w:hAnsi="Arial" w:cs="Arial"/>
                <w:sz w:val="20"/>
                <w:szCs w:val="20"/>
              </w:rPr>
              <w:t>Handover for large number of UEs</w:t>
            </w:r>
          </w:p>
        </w:tc>
        <w:tc>
          <w:tcPr>
            <w:tcW w:w="1228" w:type="dxa"/>
          </w:tcPr>
          <w:p w14:paraId="308108D2" w14:textId="2348E387" w:rsidR="004A1621" w:rsidRPr="002B1DC4" w:rsidRDefault="004A1621" w:rsidP="004A1621">
            <w:pPr>
              <w:jc w:val="both"/>
              <w:rPr>
                <w:rFonts w:ascii="Arial" w:hAnsi="Arial" w:cs="Arial"/>
                <w:sz w:val="20"/>
                <w:szCs w:val="20"/>
              </w:rPr>
            </w:pPr>
            <w:r w:rsidRPr="002B1DC4">
              <w:rPr>
                <w:rFonts w:ascii="Arial" w:hAnsi="Arial" w:cs="Arial"/>
                <w:sz w:val="20"/>
                <w:szCs w:val="20"/>
              </w:rPr>
              <w:t>N</w:t>
            </w:r>
            <w:r>
              <w:rPr>
                <w:rFonts w:ascii="Arial" w:hAnsi="Arial" w:cs="Arial"/>
                <w:sz w:val="20"/>
                <w:szCs w:val="20"/>
              </w:rPr>
              <w:t>o</w:t>
            </w:r>
          </w:p>
        </w:tc>
        <w:tc>
          <w:tcPr>
            <w:tcW w:w="1328" w:type="dxa"/>
          </w:tcPr>
          <w:p w14:paraId="613C2453" w14:textId="6E951CB8" w:rsidR="004A1621" w:rsidRPr="002B1DC4" w:rsidRDefault="004A1621" w:rsidP="004A1621">
            <w:pPr>
              <w:jc w:val="both"/>
              <w:rPr>
                <w:rFonts w:ascii="Arial" w:hAnsi="Arial" w:cs="Arial"/>
                <w:sz w:val="20"/>
                <w:szCs w:val="20"/>
              </w:rPr>
            </w:pPr>
            <w:r w:rsidRPr="002B1DC4">
              <w:rPr>
                <w:rFonts w:ascii="Arial" w:hAnsi="Arial" w:cs="Arial"/>
                <w:sz w:val="20"/>
                <w:szCs w:val="20"/>
              </w:rPr>
              <w:t>N</w:t>
            </w:r>
            <w:r>
              <w:rPr>
                <w:rFonts w:ascii="Arial" w:hAnsi="Arial" w:cs="Arial"/>
                <w:sz w:val="20"/>
                <w:szCs w:val="20"/>
              </w:rPr>
              <w:t>o</w:t>
            </w:r>
          </w:p>
        </w:tc>
        <w:tc>
          <w:tcPr>
            <w:tcW w:w="1339" w:type="dxa"/>
          </w:tcPr>
          <w:p w14:paraId="5B4A66CB" w14:textId="56CCC07C"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50566BC9" w14:textId="70F1055E"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1E71E965" w14:textId="56CB20DE" w:rsidR="004A1621" w:rsidRPr="002B1DC4" w:rsidRDefault="004A1621" w:rsidP="004A1621">
            <w:pPr>
              <w:jc w:val="both"/>
              <w:rPr>
                <w:rFonts w:ascii="Arial" w:hAnsi="Arial" w:cs="Arial"/>
                <w:sz w:val="20"/>
                <w:szCs w:val="20"/>
              </w:rPr>
            </w:pPr>
            <w:r>
              <w:rPr>
                <w:rFonts w:ascii="Arial" w:hAnsi="Arial" w:cs="Arial"/>
                <w:sz w:val="20"/>
                <w:szCs w:val="20"/>
              </w:rPr>
              <w:t>Depends on deployment assumptions</w:t>
            </w:r>
          </w:p>
        </w:tc>
        <w:tc>
          <w:tcPr>
            <w:tcW w:w="1339" w:type="dxa"/>
          </w:tcPr>
          <w:p w14:paraId="21A95257" w14:textId="77777777" w:rsidR="000E409B" w:rsidRDefault="000E409B" w:rsidP="004A1621">
            <w:pPr>
              <w:jc w:val="both"/>
              <w:rPr>
                <w:rFonts w:ascii="Arial" w:hAnsi="Arial" w:cs="Arial"/>
                <w:sz w:val="20"/>
                <w:szCs w:val="20"/>
              </w:rPr>
            </w:pPr>
            <w:r>
              <w:rPr>
                <w:rFonts w:ascii="Arial" w:hAnsi="Arial" w:cs="Arial"/>
                <w:sz w:val="20"/>
                <w:szCs w:val="20"/>
              </w:rPr>
              <w:t>Depends on deployment assumptions</w:t>
            </w:r>
          </w:p>
          <w:p w14:paraId="5C17B23E" w14:textId="5B7B3B93" w:rsidR="004A1621" w:rsidRPr="002B1DC4" w:rsidRDefault="000E409B" w:rsidP="004A1621">
            <w:pPr>
              <w:jc w:val="both"/>
              <w:rPr>
                <w:rFonts w:ascii="Arial" w:hAnsi="Arial" w:cs="Arial"/>
                <w:sz w:val="20"/>
                <w:szCs w:val="20"/>
              </w:rPr>
            </w:pPr>
            <w:r>
              <w:rPr>
                <w:rFonts w:ascii="Arial" w:hAnsi="Arial" w:cs="Arial"/>
                <w:sz w:val="20"/>
                <w:szCs w:val="20"/>
              </w:rPr>
              <w:t>(lower priority</w:t>
            </w:r>
          </w:p>
        </w:tc>
      </w:tr>
    </w:tbl>
    <w:p w14:paraId="791707D2" w14:textId="53EF017D" w:rsidR="006D4EF8" w:rsidRDefault="006D4EF8" w:rsidP="007C2924">
      <w:pPr>
        <w:jc w:val="both"/>
        <w:rPr>
          <w:rFonts w:ascii="Arial" w:hAnsi="Arial" w:cs="Arial"/>
          <w:sz w:val="20"/>
          <w:szCs w:val="20"/>
          <w:u w:val="single"/>
        </w:rPr>
      </w:pPr>
    </w:p>
    <w:p w14:paraId="58AAE946" w14:textId="7B991DC0" w:rsidR="0021008E"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9</w:t>
      </w:r>
      <w:r w:rsidRPr="00445468">
        <w:rPr>
          <w:rFonts w:ascii="Arial" w:hAnsi="Arial" w:cs="Arial"/>
          <w:b/>
          <w:sz w:val="20"/>
          <w:szCs w:val="20"/>
          <w:u w:val="single"/>
        </w:rPr>
        <w:t>:</w:t>
      </w:r>
      <w:r w:rsidRPr="00445468">
        <w:rPr>
          <w:rFonts w:ascii="Arial" w:hAnsi="Arial" w:cs="Arial"/>
          <w:sz w:val="20"/>
          <w:szCs w:val="20"/>
        </w:rPr>
        <w:tab/>
      </w:r>
      <w:r w:rsidRPr="0021008E">
        <w:rPr>
          <w:rFonts w:ascii="Arial" w:hAnsi="Arial" w:cs="Arial"/>
          <w:i/>
          <w:sz w:val="20"/>
          <w:szCs w:val="20"/>
        </w:rPr>
        <w:t>The above listed challenges in Section 2.1 may not apply to all NTN deployment scenarios or may affect different scenarios with a different priority.</w:t>
      </w:r>
    </w:p>
    <w:p w14:paraId="618B0302" w14:textId="168F3EFD" w:rsidR="004819A7" w:rsidRDefault="004819A7" w:rsidP="004819A7">
      <w:pPr>
        <w:ind w:left="1560" w:hanging="1560"/>
        <w:jc w:val="both"/>
        <w:rPr>
          <w:rFonts w:ascii="Arial" w:hAnsi="Arial" w:cs="Arial"/>
          <w:sz w:val="20"/>
          <w:szCs w:val="20"/>
        </w:rPr>
      </w:pPr>
      <w:r>
        <w:rPr>
          <w:rFonts w:ascii="Arial" w:hAnsi="Arial" w:cs="Arial"/>
          <w:b/>
          <w:sz w:val="20"/>
          <w:szCs w:val="20"/>
          <w:u w:val="single"/>
        </w:rPr>
        <w:t>Proposal 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RAN2 to agree that additional challenges to NTN mobility are</w:t>
      </w:r>
    </w:p>
    <w:p w14:paraId="07C8680B" w14:textId="63CE0F6A"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Service interruption due to signaling latency</w:t>
      </w:r>
    </w:p>
    <w:p w14:paraId="73324E4A" w14:textId="20952B6D"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Measurement validity due to propagation delay</w:t>
      </w:r>
    </w:p>
    <w:p w14:paraId="730945BE" w14:textId="6E3C267A"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Small cell quality difference in regions of overlap</w:t>
      </w:r>
    </w:p>
    <w:p w14:paraId="149CF87B" w14:textId="537DD29E"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Frequency of handover due to LEO movement and high UE speed</w:t>
      </w:r>
    </w:p>
    <w:p w14:paraId="690C432F" w14:textId="473A4D61"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Dynamic neighbor cell set due to LEO movement</w:t>
      </w:r>
    </w:p>
    <w:p w14:paraId="22B7526A" w14:textId="4FE8B9BC" w:rsidR="004819A7" w:rsidRPr="0031152B" w:rsidRDefault="004819A7" w:rsidP="0031152B">
      <w:pPr>
        <w:pStyle w:val="ListParagraph"/>
        <w:numPr>
          <w:ilvl w:val="0"/>
          <w:numId w:val="18"/>
        </w:numPr>
        <w:jc w:val="both"/>
        <w:rPr>
          <w:rFonts w:ascii="Arial" w:hAnsi="Arial" w:cs="Arial"/>
          <w:i/>
          <w:sz w:val="20"/>
          <w:szCs w:val="20"/>
        </w:rPr>
      </w:pPr>
      <w:r>
        <w:rPr>
          <w:rFonts w:ascii="Arial" w:hAnsi="Arial" w:cs="Arial"/>
          <w:i/>
          <w:sz w:val="20"/>
          <w:szCs w:val="20"/>
        </w:rPr>
        <w:t xml:space="preserve">Handover for </w:t>
      </w:r>
      <w:proofErr w:type="gramStart"/>
      <w:r>
        <w:rPr>
          <w:rFonts w:ascii="Arial" w:hAnsi="Arial" w:cs="Arial"/>
          <w:i/>
          <w:sz w:val="20"/>
          <w:szCs w:val="20"/>
        </w:rPr>
        <w:t>a large number of</w:t>
      </w:r>
      <w:proofErr w:type="gramEnd"/>
      <w:r>
        <w:rPr>
          <w:rFonts w:ascii="Arial" w:hAnsi="Arial" w:cs="Arial"/>
          <w:i/>
          <w:sz w:val="20"/>
          <w:szCs w:val="20"/>
        </w:rPr>
        <w:t xml:space="preserve"> UEs</w:t>
      </w:r>
      <w:bookmarkStart w:id="0" w:name="_GoBack"/>
      <w:bookmarkEnd w:id="0"/>
    </w:p>
    <w:p w14:paraId="1444709B" w14:textId="1360A6E5" w:rsidR="0021008E" w:rsidRPr="00445468" w:rsidRDefault="0021008E" w:rsidP="0021008E">
      <w:pPr>
        <w:ind w:left="1560" w:hanging="1560"/>
        <w:jc w:val="both"/>
        <w:rPr>
          <w:rFonts w:ascii="Arial" w:hAnsi="Arial" w:cs="Arial"/>
          <w:i/>
          <w:sz w:val="20"/>
          <w:szCs w:val="20"/>
        </w:rPr>
      </w:pPr>
      <w:r>
        <w:rPr>
          <w:rFonts w:ascii="Arial" w:hAnsi="Arial" w:cs="Arial"/>
          <w:b/>
          <w:sz w:val="20"/>
          <w:szCs w:val="20"/>
          <w:u w:val="single"/>
        </w:rPr>
        <w:t xml:space="preserve">Proposal </w:t>
      </w:r>
      <w:r w:rsidR="004819A7">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 xml:space="preserve">RAN2 to </w:t>
      </w:r>
      <w:r w:rsidR="001A4BF6">
        <w:rPr>
          <w:rFonts w:ascii="Arial" w:hAnsi="Arial" w:cs="Arial"/>
          <w:sz w:val="20"/>
          <w:szCs w:val="20"/>
        </w:rPr>
        <w:t>include the following text proposal into TR 38.821.</w:t>
      </w:r>
    </w:p>
    <w:p w14:paraId="689CD103" w14:textId="77777777" w:rsidR="00445468" w:rsidRPr="00445468" w:rsidRDefault="00445468" w:rsidP="00445468">
      <w:pPr>
        <w:pStyle w:val="Heading1"/>
      </w:pPr>
      <w:r w:rsidRPr="00445468">
        <w:t>Conclusion</w:t>
      </w:r>
    </w:p>
    <w:p w14:paraId="630B440B" w14:textId="77777777" w:rsidR="00445468" w:rsidRPr="00445468" w:rsidRDefault="00445468" w:rsidP="00445468">
      <w:pPr>
        <w:tabs>
          <w:tab w:val="left" w:pos="0"/>
        </w:tabs>
        <w:rPr>
          <w:rFonts w:ascii="Arial" w:hAnsi="Arial" w:cs="Arial"/>
          <w:sz w:val="20"/>
          <w:szCs w:val="20"/>
        </w:rPr>
      </w:pPr>
      <w:r w:rsidRPr="00445468">
        <w:rPr>
          <w:rFonts w:ascii="Arial" w:hAnsi="Arial" w:cs="Arial"/>
          <w:sz w:val="20"/>
          <w:szCs w:val="20"/>
        </w:rPr>
        <w:t>In this contribution the following observations and proposals were made on mobility for NTN:</w:t>
      </w:r>
    </w:p>
    <w:p w14:paraId="4341E791" w14:textId="55889CC0" w:rsidR="004E07EE" w:rsidRDefault="004E07EE">
      <w:pPr>
        <w:ind w:left="1560" w:hanging="1560"/>
        <w:jc w:val="both"/>
        <w:rPr>
          <w:rFonts w:ascii="Arial" w:hAnsi="Arial" w:cs="Arial"/>
          <w:i/>
          <w:sz w:val="20"/>
        </w:rPr>
      </w:pPr>
      <w:r w:rsidRPr="00445468">
        <w:rPr>
          <w:rFonts w:ascii="Arial" w:hAnsi="Arial" w:cs="Arial"/>
          <w:b/>
          <w:sz w:val="20"/>
          <w:szCs w:val="20"/>
          <w:u w:val="single"/>
        </w:rPr>
        <w:t xml:space="preserve">Observation </w:t>
      </w:r>
      <w:r>
        <w:rPr>
          <w:rFonts w:ascii="Arial" w:hAnsi="Arial" w:cs="Arial"/>
          <w:b/>
          <w:sz w:val="20"/>
          <w:szCs w:val="20"/>
          <w:u w:val="single"/>
        </w:rPr>
        <w:t>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Due to large propagation delay in NTN, the</w:t>
      </w:r>
      <w:r w:rsidRPr="00910B6B">
        <w:rPr>
          <w:rFonts w:ascii="Arial" w:hAnsi="Arial" w:cs="Arial"/>
          <w:i/>
          <w:sz w:val="20"/>
        </w:rPr>
        <w:t xml:space="preserve"> cumulative delay incurred by transmission of mobility signaling can greatly increase the HO latency</w:t>
      </w:r>
      <w:r>
        <w:rPr>
          <w:rFonts w:ascii="Arial" w:hAnsi="Arial" w:cs="Arial"/>
          <w:i/>
          <w:sz w:val="20"/>
        </w:rPr>
        <w:t>,</w:t>
      </w:r>
      <w:r w:rsidRPr="00910B6B">
        <w:rPr>
          <w:rFonts w:ascii="Arial" w:hAnsi="Arial" w:cs="Arial"/>
          <w:i/>
          <w:sz w:val="20"/>
        </w:rPr>
        <w:t xml:space="preserve"> </w:t>
      </w:r>
      <w:r>
        <w:rPr>
          <w:rFonts w:ascii="Arial" w:hAnsi="Arial" w:cs="Arial"/>
          <w:i/>
          <w:sz w:val="20"/>
        </w:rPr>
        <w:t xml:space="preserve">leading to </w:t>
      </w:r>
      <w:r w:rsidRPr="00910B6B">
        <w:rPr>
          <w:rFonts w:ascii="Arial" w:hAnsi="Arial" w:cs="Arial"/>
          <w:i/>
          <w:sz w:val="20"/>
        </w:rPr>
        <w:t>service interruptions.</w:t>
      </w:r>
    </w:p>
    <w:p w14:paraId="0D593C65" w14:textId="77777777" w:rsidR="00483FBD" w:rsidRPr="002E685D" w:rsidRDefault="00483FBD" w:rsidP="00483FBD">
      <w:pPr>
        <w:ind w:left="1560" w:hanging="1560"/>
        <w:jc w:val="both"/>
        <w:rPr>
          <w:rFonts w:ascii="Arial" w:hAnsi="Arial" w:cs="Arial"/>
          <w:sz w:val="20"/>
        </w:rPr>
      </w:pPr>
      <w:r w:rsidRPr="00445468">
        <w:rPr>
          <w:rFonts w:ascii="Arial" w:hAnsi="Arial" w:cs="Arial"/>
          <w:b/>
          <w:sz w:val="20"/>
          <w:szCs w:val="20"/>
          <w:u w:val="single"/>
        </w:rPr>
        <w:t xml:space="preserve">Observation </w:t>
      </w:r>
      <w:r>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rPr>
        <w:t>Only cell level mobility is considered from RAN2 perspective</w:t>
      </w:r>
      <w:r w:rsidRPr="00910B6B">
        <w:rPr>
          <w:rFonts w:ascii="Arial" w:hAnsi="Arial" w:cs="Arial"/>
          <w:i/>
          <w:sz w:val="20"/>
        </w:rPr>
        <w:t>.</w:t>
      </w:r>
    </w:p>
    <w:p w14:paraId="6FAD2D57" w14:textId="36671C42" w:rsidR="0021008E" w:rsidRPr="00445468" w:rsidRDefault="0021008E" w:rsidP="0021008E">
      <w:pPr>
        <w:ind w:left="1560" w:hanging="1560"/>
        <w:jc w:val="both"/>
        <w:rPr>
          <w:rFonts w:ascii="Arial" w:hAnsi="Arial" w:cs="Arial"/>
          <w:i/>
          <w:sz w:val="20"/>
          <w:szCs w:val="20"/>
        </w:rPr>
      </w:pPr>
      <w:r w:rsidRPr="009021C8">
        <w:rPr>
          <w:rFonts w:ascii="Arial" w:hAnsi="Arial" w:cs="Arial"/>
          <w:b/>
          <w:sz w:val="20"/>
          <w:szCs w:val="20"/>
          <w:u w:val="single"/>
        </w:rPr>
        <w:t xml:space="preserve">Observation </w:t>
      </w:r>
      <w:r w:rsidR="00483FBD">
        <w:rPr>
          <w:rFonts w:ascii="Arial" w:hAnsi="Arial" w:cs="Arial"/>
          <w:b/>
          <w:sz w:val="20"/>
          <w:szCs w:val="20"/>
          <w:u w:val="single"/>
        </w:rPr>
        <w:t>3</w:t>
      </w:r>
      <w:r w:rsidRPr="009021C8">
        <w:rPr>
          <w:rFonts w:ascii="Arial" w:hAnsi="Arial" w:cs="Arial"/>
          <w:b/>
          <w:sz w:val="20"/>
          <w:szCs w:val="20"/>
          <w:u w:val="single"/>
        </w:rPr>
        <w:t>:</w:t>
      </w:r>
      <w:r w:rsidRPr="009021C8">
        <w:rPr>
          <w:rFonts w:ascii="Arial" w:hAnsi="Arial" w:cs="Arial"/>
          <w:sz w:val="20"/>
          <w:szCs w:val="20"/>
        </w:rPr>
        <w:tab/>
      </w:r>
      <w:r w:rsidRPr="008F6FE7">
        <w:rPr>
          <w:rFonts w:ascii="Arial" w:hAnsi="Arial" w:cs="Arial"/>
          <w:i/>
          <w:sz w:val="20"/>
        </w:rPr>
        <w:t>Due to propagation delay and satellite movement, measurements triggering a</w:t>
      </w:r>
      <w:r>
        <w:rPr>
          <w:rFonts w:ascii="Arial" w:hAnsi="Arial" w:cs="Arial"/>
          <w:i/>
          <w:sz w:val="20"/>
        </w:rPr>
        <w:t>n</w:t>
      </w:r>
      <w:r w:rsidRPr="008F6FE7">
        <w:rPr>
          <w:rFonts w:ascii="Arial" w:hAnsi="Arial" w:cs="Arial"/>
          <w:i/>
          <w:sz w:val="20"/>
        </w:rPr>
        <w:t xml:space="preserve"> A3 event may no longer be valid, possibly leading to an incorrect mobility action e.g. early/late handover and an overall reduction in handover robustness.</w:t>
      </w:r>
    </w:p>
    <w:p w14:paraId="6090DE77" w14:textId="0DDB8011" w:rsidR="0021008E" w:rsidRPr="00445468"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lastRenderedPageBreak/>
        <w:t xml:space="preserve">Observation </w:t>
      </w:r>
      <w:r w:rsidR="00483FBD">
        <w:rPr>
          <w:rFonts w:ascii="Arial" w:hAnsi="Arial" w:cs="Arial"/>
          <w:b/>
          <w:sz w:val="20"/>
          <w:szCs w:val="20"/>
          <w:u w:val="single"/>
        </w:rPr>
        <w:t>4</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Difference in signal strength between beam center and edge is less pronounced as compared to terrestrial systems. A3 triggered handover may be insufficient for mobility purposes in regions of beam overlap.</w:t>
      </w:r>
    </w:p>
    <w:p w14:paraId="14A54FAC" w14:textId="070C2752" w:rsidR="0021008E" w:rsidRDefault="0021008E" w:rsidP="0021008E">
      <w:pPr>
        <w:ind w:left="1560" w:hanging="1560"/>
        <w:jc w:val="both"/>
        <w:rPr>
          <w:rFonts w:ascii="Arial" w:hAnsi="Arial" w:cs="Arial"/>
          <w:i/>
          <w:sz w:val="20"/>
        </w:rPr>
      </w:pPr>
      <w:r w:rsidRPr="00445468">
        <w:rPr>
          <w:rFonts w:ascii="Arial" w:hAnsi="Arial" w:cs="Arial"/>
          <w:b/>
          <w:sz w:val="20"/>
          <w:szCs w:val="20"/>
          <w:u w:val="single"/>
        </w:rPr>
        <w:t xml:space="preserve">Observation </w:t>
      </w:r>
      <w:r w:rsidR="00483FBD">
        <w:rPr>
          <w:rFonts w:ascii="Arial" w:hAnsi="Arial" w:cs="Arial"/>
          <w:b/>
          <w:sz w:val="20"/>
          <w:szCs w:val="20"/>
          <w:u w:val="single"/>
        </w:rPr>
        <w:t>5</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szCs w:val="20"/>
        </w:rPr>
        <w:t>Due to satellite movement in non-GEO deployments, f</w:t>
      </w:r>
      <w:r w:rsidRPr="003413C0">
        <w:rPr>
          <w:rFonts w:ascii="Arial" w:hAnsi="Arial" w:cs="Arial"/>
          <w:i/>
          <w:sz w:val="20"/>
        </w:rPr>
        <w:t>requent and unavoidable handover may result in significant signaling overhead and impact power consumption</w:t>
      </w:r>
      <w:r>
        <w:rPr>
          <w:rFonts w:ascii="Arial" w:hAnsi="Arial" w:cs="Arial"/>
          <w:i/>
          <w:sz w:val="20"/>
        </w:rPr>
        <w:t xml:space="preserve"> for both stationary and moving UEs</w:t>
      </w:r>
      <w:r w:rsidRPr="003413C0">
        <w:rPr>
          <w:rFonts w:ascii="Arial" w:hAnsi="Arial" w:cs="Arial"/>
          <w:i/>
          <w:sz w:val="20"/>
        </w:rPr>
        <w:t xml:space="preserve">. </w:t>
      </w:r>
    </w:p>
    <w:p w14:paraId="72A32C8B" w14:textId="77777777" w:rsidR="00A43DF0" w:rsidRPr="003413C0" w:rsidRDefault="00A43DF0" w:rsidP="00A43DF0">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Pr>
          <w:rFonts w:ascii="Arial" w:hAnsi="Arial" w:cs="Arial"/>
          <w:b/>
          <w:sz w:val="20"/>
          <w:szCs w:val="20"/>
          <w:u w:val="single"/>
        </w:rPr>
        <w:t>6</w:t>
      </w:r>
      <w:r w:rsidRPr="00445468">
        <w:rPr>
          <w:rFonts w:ascii="Arial" w:hAnsi="Arial" w:cs="Arial"/>
          <w:b/>
          <w:sz w:val="20"/>
          <w:szCs w:val="20"/>
          <w:u w:val="single"/>
        </w:rPr>
        <w:t>:</w:t>
      </w:r>
      <w:r w:rsidRPr="00445468">
        <w:rPr>
          <w:rFonts w:ascii="Arial" w:hAnsi="Arial" w:cs="Arial"/>
          <w:sz w:val="20"/>
          <w:szCs w:val="20"/>
        </w:rPr>
        <w:tab/>
      </w:r>
      <w:r w:rsidRPr="003413C0">
        <w:rPr>
          <w:rFonts w:ascii="Arial" w:hAnsi="Arial" w:cs="Arial"/>
          <w:i/>
          <w:sz w:val="20"/>
        </w:rPr>
        <w:t xml:space="preserve">The frequency of handover </w:t>
      </w:r>
      <w:r>
        <w:rPr>
          <w:rFonts w:ascii="Arial" w:hAnsi="Arial" w:cs="Arial"/>
          <w:i/>
          <w:sz w:val="20"/>
        </w:rPr>
        <w:t>in non-GEO deployments exacerbates</w:t>
      </w:r>
      <w:r w:rsidRPr="003413C0">
        <w:rPr>
          <w:rFonts w:ascii="Arial" w:hAnsi="Arial" w:cs="Arial"/>
          <w:i/>
          <w:sz w:val="20"/>
        </w:rPr>
        <w:t xml:space="preserve"> </w:t>
      </w:r>
      <w:r>
        <w:rPr>
          <w:rFonts w:ascii="Arial" w:hAnsi="Arial" w:cs="Arial"/>
          <w:i/>
          <w:sz w:val="20"/>
        </w:rPr>
        <w:t xml:space="preserve">other </w:t>
      </w:r>
      <w:r w:rsidRPr="003413C0">
        <w:rPr>
          <w:rFonts w:ascii="Arial" w:hAnsi="Arial" w:cs="Arial"/>
          <w:i/>
          <w:sz w:val="20"/>
        </w:rPr>
        <w:t>challenges related to mobility</w:t>
      </w:r>
      <w:r>
        <w:rPr>
          <w:rFonts w:ascii="Arial" w:hAnsi="Arial" w:cs="Arial"/>
          <w:i/>
          <w:sz w:val="20"/>
        </w:rPr>
        <w:t>, such as</w:t>
      </w:r>
      <w:r w:rsidRPr="003413C0">
        <w:rPr>
          <w:rFonts w:ascii="Arial" w:hAnsi="Arial" w:cs="Arial"/>
          <w:i/>
          <w:sz w:val="20"/>
        </w:rPr>
        <w:t xml:space="preserve"> signaling latency, measurement validity, and cell overlap/near far effect</w:t>
      </w:r>
      <w:r>
        <w:rPr>
          <w:rFonts w:ascii="Arial" w:hAnsi="Arial" w:cs="Arial"/>
          <w:i/>
          <w:sz w:val="20"/>
        </w:rPr>
        <w:t>.</w:t>
      </w:r>
    </w:p>
    <w:p w14:paraId="4BFB5C08" w14:textId="05370ED9" w:rsidR="0021008E" w:rsidRPr="00445468"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7</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Due to satellite movement in non-GEO deployments, the neighboring cell set may constantly change based on implementation assumptions. This may lead to challenges when evaluating potential HO candidates and intercell mechanisms.</w:t>
      </w:r>
    </w:p>
    <w:p w14:paraId="09CB02F9" w14:textId="77777777" w:rsidR="000E409B" w:rsidRPr="00445468" w:rsidRDefault="000E409B" w:rsidP="000E409B">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Pr>
          <w:rFonts w:ascii="Arial" w:hAnsi="Arial" w:cs="Arial"/>
          <w:b/>
          <w:sz w:val="20"/>
          <w:szCs w:val="20"/>
          <w:u w:val="single"/>
        </w:rPr>
        <w:t>8</w:t>
      </w:r>
      <w:r w:rsidRPr="00445468">
        <w:rPr>
          <w:rFonts w:ascii="Arial" w:hAnsi="Arial" w:cs="Arial"/>
          <w:b/>
          <w:sz w:val="20"/>
          <w:szCs w:val="20"/>
          <w:u w:val="single"/>
        </w:rPr>
        <w:t>:</w:t>
      </w:r>
      <w:r w:rsidRPr="00445468">
        <w:rPr>
          <w:rFonts w:ascii="Arial" w:hAnsi="Arial" w:cs="Arial"/>
          <w:sz w:val="20"/>
          <w:szCs w:val="20"/>
        </w:rPr>
        <w:tab/>
      </w:r>
      <w:r>
        <w:rPr>
          <w:rFonts w:ascii="Arial" w:hAnsi="Arial" w:cs="Arial"/>
          <w:i/>
          <w:sz w:val="20"/>
          <w:szCs w:val="20"/>
        </w:rPr>
        <w:t>A change of cell information (i.e. PCI/SSB change) due to satellite movement in non-GEO scenarios may result in many UEs initiating mobility procedures over a short time window.</w:t>
      </w:r>
    </w:p>
    <w:p w14:paraId="0915F07D" w14:textId="10703752" w:rsidR="0021008E" w:rsidRDefault="0021008E" w:rsidP="0021008E">
      <w:pPr>
        <w:ind w:left="1560" w:hanging="1560"/>
        <w:jc w:val="both"/>
        <w:rPr>
          <w:rFonts w:ascii="Arial" w:hAnsi="Arial" w:cs="Arial"/>
          <w:i/>
          <w:sz w:val="20"/>
          <w:szCs w:val="20"/>
        </w:rPr>
      </w:pPr>
      <w:r w:rsidRPr="00445468">
        <w:rPr>
          <w:rFonts w:ascii="Arial" w:hAnsi="Arial" w:cs="Arial"/>
          <w:b/>
          <w:sz w:val="20"/>
          <w:szCs w:val="20"/>
          <w:u w:val="single"/>
        </w:rPr>
        <w:t xml:space="preserve">Observation </w:t>
      </w:r>
      <w:r w:rsidR="00483FBD">
        <w:rPr>
          <w:rFonts w:ascii="Arial" w:hAnsi="Arial" w:cs="Arial"/>
          <w:b/>
          <w:sz w:val="20"/>
          <w:szCs w:val="20"/>
          <w:u w:val="single"/>
        </w:rPr>
        <w:t>9</w:t>
      </w:r>
      <w:r w:rsidRPr="00445468">
        <w:rPr>
          <w:rFonts w:ascii="Arial" w:hAnsi="Arial" w:cs="Arial"/>
          <w:b/>
          <w:sz w:val="20"/>
          <w:szCs w:val="20"/>
          <w:u w:val="single"/>
        </w:rPr>
        <w:t>:</w:t>
      </w:r>
      <w:r w:rsidRPr="00445468">
        <w:rPr>
          <w:rFonts w:ascii="Arial" w:hAnsi="Arial" w:cs="Arial"/>
          <w:sz w:val="20"/>
          <w:szCs w:val="20"/>
        </w:rPr>
        <w:tab/>
      </w:r>
      <w:r w:rsidRPr="0021008E">
        <w:rPr>
          <w:rFonts w:ascii="Arial" w:hAnsi="Arial" w:cs="Arial"/>
          <w:i/>
          <w:sz w:val="20"/>
          <w:szCs w:val="20"/>
        </w:rPr>
        <w:t>The above listed challenges in Section 2.1 may not apply to all NTN deployment scenarios or may affect different scenarios with a different priority.</w:t>
      </w:r>
    </w:p>
    <w:p w14:paraId="73077385" w14:textId="4A224EF5" w:rsidR="004819A7" w:rsidRDefault="004819A7" w:rsidP="004819A7">
      <w:pPr>
        <w:ind w:left="1560" w:hanging="1560"/>
        <w:jc w:val="both"/>
        <w:rPr>
          <w:rFonts w:ascii="Arial" w:hAnsi="Arial" w:cs="Arial"/>
          <w:sz w:val="20"/>
          <w:szCs w:val="20"/>
        </w:rPr>
      </w:pPr>
      <w:r>
        <w:rPr>
          <w:rFonts w:ascii="Arial" w:hAnsi="Arial" w:cs="Arial"/>
          <w:b/>
          <w:sz w:val="20"/>
          <w:szCs w:val="20"/>
          <w:u w:val="single"/>
        </w:rPr>
        <w:t>Proposal 1</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RAN2 to agree that additional challenges to NTN mobility are</w:t>
      </w:r>
    </w:p>
    <w:p w14:paraId="7FE79A77" w14:textId="77777777"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Service interruption due to signaling latency</w:t>
      </w:r>
    </w:p>
    <w:p w14:paraId="731DCFD2" w14:textId="77777777"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Measurement validity due to propagation delay</w:t>
      </w:r>
    </w:p>
    <w:p w14:paraId="59BAB096" w14:textId="77777777"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Small cell quality difference in regions of overlap</w:t>
      </w:r>
    </w:p>
    <w:p w14:paraId="6A1549B9" w14:textId="77777777"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Frequency of handover due to LEO movement and high UE speed</w:t>
      </w:r>
    </w:p>
    <w:p w14:paraId="4DBA393D" w14:textId="77777777" w:rsidR="004819A7"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Dynamic neighbor cell set due to LEO movement</w:t>
      </w:r>
    </w:p>
    <w:p w14:paraId="7C32BCBD" w14:textId="77777777" w:rsidR="004819A7" w:rsidRPr="00E1217C" w:rsidRDefault="004819A7" w:rsidP="004819A7">
      <w:pPr>
        <w:pStyle w:val="ListParagraph"/>
        <w:numPr>
          <w:ilvl w:val="0"/>
          <w:numId w:val="18"/>
        </w:numPr>
        <w:jc w:val="both"/>
        <w:rPr>
          <w:rFonts w:ascii="Arial" w:hAnsi="Arial" w:cs="Arial"/>
          <w:i/>
          <w:sz w:val="20"/>
          <w:szCs w:val="20"/>
        </w:rPr>
      </w:pPr>
      <w:r>
        <w:rPr>
          <w:rFonts w:ascii="Arial" w:hAnsi="Arial" w:cs="Arial"/>
          <w:i/>
          <w:sz w:val="20"/>
          <w:szCs w:val="20"/>
        </w:rPr>
        <w:t xml:space="preserve">Handover for </w:t>
      </w:r>
      <w:proofErr w:type="gramStart"/>
      <w:r>
        <w:rPr>
          <w:rFonts w:ascii="Arial" w:hAnsi="Arial" w:cs="Arial"/>
          <w:i/>
          <w:sz w:val="20"/>
          <w:szCs w:val="20"/>
        </w:rPr>
        <w:t>a large number of</w:t>
      </w:r>
      <w:proofErr w:type="gramEnd"/>
      <w:r>
        <w:rPr>
          <w:rFonts w:ascii="Arial" w:hAnsi="Arial" w:cs="Arial"/>
          <w:i/>
          <w:sz w:val="20"/>
          <w:szCs w:val="20"/>
        </w:rPr>
        <w:t xml:space="preserve"> UEs</w:t>
      </w:r>
    </w:p>
    <w:p w14:paraId="7051BA93" w14:textId="7DEF5A88" w:rsidR="001A4BF6" w:rsidRPr="00445468" w:rsidRDefault="001A4BF6" w:rsidP="0021008E">
      <w:pPr>
        <w:ind w:left="1560" w:hanging="1560"/>
        <w:jc w:val="both"/>
        <w:rPr>
          <w:rFonts w:ascii="Arial" w:hAnsi="Arial" w:cs="Arial"/>
          <w:i/>
          <w:sz w:val="20"/>
          <w:szCs w:val="20"/>
        </w:rPr>
      </w:pPr>
      <w:r>
        <w:rPr>
          <w:rFonts w:ascii="Arial" w:hAnsi="Arial" w:cs="Arial"/>
          <w:b/>
          <w:sz w:val="20"/>
          <w:szCs w:val="20"/>
          <w:u w:val="single"/>
        </w:rPr>
        <w:t xml:space="preserve">Proposal </w:t>
      </w:r>
      <w:r w:rsidR="004819A7">
        <w:rPr>
          <w:rFonts w:ascii="Arial" w:hAnsi="Arial" w:cs="Arial"/>
          <w:b/>
          <w:sz w:val="20"/>
          <w:szCs w:val="20"/>
          <w:u w:val="single"/>
        </w:rPr>
        <w:t>2</w:t>
      </w:r>
      <w:r w:rsidRPr="00445468">
        <w:rPr>
          <w:rFonts w:ascii="Arial" w:hAnsi="Arial" w:cs="Arial"/>
          <w:b/>
          <w:sz w:val="20"/>
          <w:szCs w:val="20"/>
          <w:u w:val="single"/>
        </w:rPr>
        <w:t>:</w:t>
      </w:r>
      <w:r w:rsidRPr="00445468">
        <w:rPr>
          <w:rFonts w:ascii="Arial" w:hAnsi="Arial" w:cs="Arial"/>
          <w:sz w:val="20"/>
          <w:szCs w:val="20"/>
        </w:rPr>
        <w:tab/>
      </w:r>
      <w:r>
        <w:rPr>
          <w:rFonts w:ascii="Arial" w:hAnsi="Arial" w:cs="Arial"/>
          <w:sz w:val="20"/>
          <w:szCs w:val="20"/>
        </w:rPr>
        <w:t>RAN2 to include the following text proposal into TR 38.821.</w:t>
      </w:r>
    </w:p>
    <w:p w14:paraId="01619B65" w14:textId="77777777" w:rsidR="004A77A9" w:rsidRPr="00445468" w:rsidRDefault="004A77A9" w:rsidP="004A77A9">
      <w:pPr>
        <w:pStyle w:val="Heading1"/>
      </w:pPr>
      <w:r w:rsidRPr="00445468">
        <w:t>References</w:t>
      </w:r>
    </w:p>
    <w:p w14:paraId="18932C97" w14:textId="77777777" w:rsidR="004A77A9" w:rsidRPr="000A3131" w:rsidRDefault="004A77A9" w:rsidP="004A77A9">
      <w:pPr>
        <w:pStyle w:val="Reference"/>
        <w:spacing w:after="60"/>
        <w:rPr>
          <w:rFonts w:cs="Arial"/>
          <w:szCs w:val="18"/>
          <w:lang w:val="en-US"/>
        </w:rPr>
      </w:pPr>
      <w:r w:rsidRPr="000A3131">
        <w:rPr>
          <w:rFonts w:cs="Arial"/>
          <w:szCs w:val="18"/>
          <w:lang w:val="en-US"/>
        </w:rPr>
        <w:t xml:space="preserve">RP-190710 </w:t>
      </w:r>
      <w:proofErr w:type="spellStart"/>
      <w:r>
        <w:rPr>
          <w:rFonts w:cs="Arial"/>
          <w:szCs w:val="18"/>
          <w:lang w:val="en-US"/>
        </w:rPr>
        <w:t>SID:Study</w:t>
      </w:r>
      <w:proofErr w:type="spellEnd"/>
      <w:r>
        <w:rPr>
          <w:rFonts w:cs="Arial"/>
          <w:szCs w:val="18"/>
          <w:lang w:val="en-US"/>
        </w:rPr>
        <w:t xml:space="preserve"> on solutions for NR to support non-terrestrial networks (NTN) - Thales</w:t>
      </w:r>
    </w:p>
    <w:p w14:paraId="612255DC" w14:textId="77777777" w:rsidR="004A77A9" w:rsidRPr="00445468" w:rsidRDefault="004A77A9" w:rsidP="004A77A9">
      <w:pPr>
        <w:pStyle w:val="Reference"/>
        <w:spacing w:after="60"/>
        <w:rPr>
          <w:rFonts w:cs="Arial"/>
          <w:sz w:val="18"/>
          <w:szCs w:val="18"/>
        </w:rPr>
      </w:pPr>
      <w:r>
        <w:rPr>
          <w:rFonts w:cs="Arial"/>
        </w:rPr>
        <w:t>R2-1816201 Report of 3GPP TSG RAN WG2 meeting #103bis, Chengdu, China – 3GPP</w:t>
      </w:r>
    </w:p>
    <w:p w14:paraId="7D44D680" w14:textId="77777777" w:rsidR="004A77A9" w:rsidRPr="00FD2D39" w:rsidRDefault="004A77A9" w:rsidP="004A77A9">
      <w:pPr>
        <w:pStyle w:val="Reference"/>
        <w:spacing w:after="60"/>
        <w:rPr>
          <w:rFonts w:cs="Arial"/>
          <w:sz w:val="18"/>
          <w:szCs w:val="18"/>
        </w:rPr>
      </w:pPr>
      <w:r>
        <w:rPr>
          <w:rFonts w:cs="Arial"/>
        </w:rPr>
        <w:t>R2-1900002 Report of 3GPP TSG RAN WG2 meeting #104, Spokane, USA – 3GPP</w:t>
      </w:r>
    </w:p>
    <w:p w14:paraId="54E5D6D3" w14:textId="77777777" w:rsidR="004A77A9" w:rsidRPr="00445468" w:rsidRDefault="004A77A9" w:rsidP="004A77A9">
      <w:pPr>
        <w:pStyle w:val="Reference"/>
        <w:spacing w:after="60"/>
        <w:rPr>
          <w:rFonts w:cs="Arial"/>
          <w:sz w:val="18"/>
          <w:szCs w:val="18"/>
        </w:rPr>
      </w:pPr>
      <w:r>
        <w:rPr>
          <w:rFonts w:cs="Arial"/>
        </w:rPr>
        <w:t>R2-1903001 Report of 3GPP TSG RAN WG2 meeting #105, Athens, Greece – 3GPP</w:t>
      </w:r>
    </w:p>
    <w:p w14:paraId="106F2CE7" w14:textId="77777777" w:rsidR="004A77A9" w:rsidRPr="006767E7" w:rsidRDefault="004A77A9" w:rsidP="004A77A9">
      <w:pPr>
        <w:pStyle w:val="Reference"/>
        <w:spacing w:after="60"/>
        <w:rPr>
          <w:rFonts w:cs="Arial"/>
          <w:sz w:val="18"/>
          <w:szCs w:val="18"/>
        </w:rPr>
      </w:pPr>
      <w:r w:rsidRPr="006767E7">
        <w:rPr>
          <w:rFonts w:cs="Arial"/>
          <w:szCs w:val="18"/>
        </w:rPr>
        <w:t>R2-1900547 Report of email discussion [104#54] [NR – NTN] Ericsson</w:t>
      </w:r>
    </w:p>
    <w:p w14:paraId="141A6201" w14:textId="77777777" w:rsidR="004A77A9" w:rsidRPr="00445468" w:rsidRDefault="004A77A9" w:rsidP="004A77A9">
      <w:pPr>
        <w:pStyle w:val="Reference"/>
        <w:spacing w:after="60"/>
        <w:rPr>
          <w:rFonts w:cs="Arial"/>
          <w:sz w:val="18"/>
          <w:szCs w:val="18"/>
        </w:rPr>
      </w:pPr>
      <w:r w:rsidRPr="001D6B58">
        <w:rPr>
          <w:rFonts w:cs="Arial"/>
        </w:rPr>
        <w:t xml:space="preserve">R2-1905xxx </w:t>
      </w:r>
      <w:r>
        <w:rPr>
          <w:rFonts w:cs="Arial"/>
        </w:rPr>
        <w:t>Report of 3GPP TSG RAN WG2 meeting #105bis [Draft_v1], Xi’an, China – 3GPP</w:t>
      </w:r>
    </w:p>
    <w:p w14:paraId="532E69CC" w14:textId="77777777" w:rsidR="004A77A9" w:rsidRDefault="004A77A9" w:rsidP="004A77A9">
      <w:pPr>
        <w:pStyle w:val="Reference"/>
        <w:spacing w:after="60"/>
        <w:rPr>
          <w:rFonts w:cs="Arial"/>
          <w:szCs w:val="18"/>
          <w:lang w:val="en-US"/>
        </w:rPr>
      </w:pPr>
      <w:r w:rsidRPr="001D6B58">
        <w:rPr>
          <w:rFonts w:cs="Arial"/>
          <w:szCs w:val="18"/>
          <w:lang w:val="en-US"/>
        </w:rPr>
        <w:t xml:space="preserve">3GPP TR 38.821 V0.5.0 Solutions to </w:t>
      </w:r>
      <w:r>
        <w:rPr>
          <w:rFonts w:cs="Arial"/>
          <w:szCs w:val="18"/>
          <w:lang w:val="en-US"/>
        </w:rPr>
        <w:t>support non-terrestrial networks (NTN) – 3GPP</w:t>
      </w:r>
    </w:p>
    <w:p w14:paraId="369DA21C" w14:textId="77777777" w:rsidR="004A77A9" w:rsidRDefault="004A77A9" w:rsidP="004A77A9">
      <w:pPr>
        <w:pStyle w:val="Reference"/>
        <w:spacing w:after="60"/>
        <w:rPr>
          <w:rFonts w:cs="Arial"/>
          <w:szCs w:val="18"/>
          <w:lang w:val="en-US"/>
        </w:rPr>
      </w:pPr>
      <w:r>
        <w:rPr>
          <w:rFonts w:cs="Arial"/>
          <w:szCs w:val="18"/>
          <w:lang w:val="en-US"/>
        </w:rPr>
        <w:t>R2-1903062 Handover Enhancement in LEO-Satellite based NTN – Mediatek Inc.</w:t>
      </w:r>
    </w:p>
    <w:p w14:paraId="5860CE55" w14:textId="77777777" w:rsidR="004A77A9" w:rsidRDefault="004A77A9" w:rsidP="004A77A9">
      <w:pPr>
        <w:pStyle w:val="Reference"/>
        <w:spacing w:after="60"/>
        <w:rPr>
          <w:rFonts w:cs="Arial"/>
          <w:szCs w:val="18"/>
          <w:lang w:val="en-US"/>
        </w:rPr>
      </w:pPr>
      <w:r>
        <w:rPr>
          <w:rFonts w:cs="Arial"/>
          <w:szCs w:val="18"/>
          <w:lang w:val="en-US"/>
        </w:rPr>
        <w:t>R2-1903573 Connected mode mobility aspects for NTN GEO – Ericsson</w:t>
      </w:r>
    </w:p>
    <w:p w14:paraId="14D87BA2" w14:textId="77777777" w:rsidR="004A77A9" w:rsidRDefault="004A77A9" w:rsidP="004A77A9">
      <w:pPr>
        <w:pStyle w:val="Reference"/>
        <w:spacing w:after="60"/>
        <w:rPr>
          <w:rFonts w:cs="Arial"/>
          <w:szCs w:val="18"/>
          <w:lang w:val="en-US"/>
        </w:rPr>
      </w:pPr>
      <w:r>
        <w:rPr>
          <w:rFonts w:cs="Arial"/>
          <w:szCs w:val="18"/>
          <w:lang w:val="en-US"/>
        </w:rPr>
        <w:t>R2-1903575 Mobility for NTN LEO – Ericsson</w:t>
      </w:r>
    </w:p>
    <w:p w14:paraId="500BA6C7" w14:textId="77777777" w:rsidR="004A77A9" w:rsidRDefault="004A77A9" w:rsidP="004A77A9">
      <w:pPr>
        <w:pStyle w:val="Reference"/>
        <w:spacing w:after="60"/>
        <w:rPr>
          <w:rFonts w:cs="Arial"/>
          <w:szCs w:val="18"/>
          <w:lang w:val="en-US"/>
        </w:rPr>
      </w:pPr>
      <w:r>
        <w:rPr>
          <w:rFonts w:cs="Arial"/>
          <w:szCs w:val="18"/>
          <w:lang w:val="en-US"/>
        </w:rPr>
        <w:t>R2-1903579 RRM for NTN – Ericsson</w:t>
      </w:r>
    </w:p>
    <w:p w14:paraId="6A0A1195" w14:textId="77777777" w:rsidR="004A77A9" w:rsidRDefault="004A77A9" w:rsidP="004A77A9">
      <w:pPr>
        <w:pStyle w:val="Reference"/>
        <w:spacing w:after="60"/>
        <w:rPr>
          <w:rFonts w:cs="Arial"/>
          <w:szCs w:val="18"/>
          <w:lang w:val="en-US"/>
        </w:rPr>
      </w:pPr>
      <w:r>
        <w:rPr>
          <w:rFonts w:cs="Arial"/>
          <w:szCs w:val="18"/>
          <w:lang w:val="en-US"/>
        </w:rPr>
        <w:t xml:space="preserve">R2-1903797 Impacts caused by measurement variations in NTN – </w:t>
      </w:r>
      <w:proofErr w:type="spellStart"/>
      <w:r>
        <w:rPr>
          <w:rFonts w:cs="Arial"/>
          <w:szCs w:val="18"/>
          <w:lang w:val="en-US"/>
        </w:rPr>
        <w:t>Spreadtrum</w:t>
      </w:r>
      <w:proofErr w:type="spellEnd"/>
      <w:r>
        <w:rPr>
          <w:rFonts w:cs="Arial"/>
          <w:szCs w:val="18"/>
          <w:lang w:val="en-US"/>
        </w:rPr>
        <w:t xml:space="preserve"> Communications</w:t>
      </w:r>
    </w:p>
    <w:p w14:paraId="1F51738C" w14:textId="77777777" w:rsidR="004A77A9" w:rsidRDefault="004A77A9" w:rsidP="004A77A9">
      <w:pPr>
        <w:pStyle w:val="Reference"/>
        <w:spacing w:after="60"/>
        <w:rPr>
          <w:rFonts w:cs="Arial"/>
          <w:szCs w:val="18"/>
          <w:lang w:val="en-US"/>
        </w:rPr>
      </w:pPr>
      <w:r>
        <w:rPr>
          <w:rFonts w:cs="Arial"/>
          <w:szCs w:val="18"/>
          <w:lang w:val="en-US"/>
        </w:rPr>
        <w:t xml:space="preserve">R2-1904165 Discussions on cell measurement in NTN – Huawei, </w:t>
      </w:r>
      <w:proofErr w:type="spellStart"/>
      <w:r>
        <w:rPr>
          <w:rFonts w:cs="Arial"/>
          <w:szCs w:val="18"/>
          <w:lang w:val="en-US"/>
        </w:rPr>
        <w:t>HiSilicon</w:t>
      </w:r>
      <w:proofErr w:type="spellEnd"/>
    </w:p>
    <w:p w14:paraId="12CA835A" w14:textId="77777777" w:rsidR="004A77A9" w:rsidRDefault="004A77A9" w:rsidP="004A77A9">
      <w:pPr>
        <w:pStyle w:val="Reference"/>
        <w:spacing w:after="60"/>
        <w:rPr>
          <w:rFonts w:cs="Arial"/>
          <w:szCs w:val="18"/>
          <w:lang w:val="en-US"/>
        </w:rPr>
      </w:pPr>
      <w:r>
        <w:rPr>
          <w:rFonts w:cs="Arial"/>
          <w:szCs w:val="18"/>
          <w:lang w:val="en-US"/>
        </w:rPr>
        <w:t xml:space="preserve">R2-1904167 RACH-less handover in NTN – Huawei, </w:t>
      </w:r>
      <w:proofErr w:type="spellStart"/>
      <w:r>
        <w:rPr>
          <w:rFonts w:cs="Arial"/>
          <w:szCs w:val="18"/>
          <w:lang w:val="en-US"/>
        </w:rPr>
        <w:t>HiSilicon</w:t>
      </w:r>
      <w:proofErr w:type="spellEnd"/>
    </w:p>
    <w:p w14:paraId="7E1DBDBA" w14:textId="77777777" w:rsidR="004A77A9" w:rsidRDefault="004A77A9" w:rsidP="004A77A9">
      <w:pPr>
        <w:pStyle w:val="Reference"/>
        <w:spacing w:after="60"/>
        <w:rPr>
          <w:rFonts w:cs="Arial"/>
          <w:szCs w:val="18"/>
          <w:lang w:val="en-US"/>
        </w:rPr>
      </w:pPr>
      <w:r>
        <w:rPr>
          <w:rFonts w:cs="Arial"/>
          <w:szCs w:val="18"/>
          <w:lang w:val="en-US"/>
        </w:rPr>
        <w:t xml:space="preserve">R2-1904166 Considerations on mobility management in NTN – Huawei, </w:t>
      </w:r>
      <w:proofErr w:type="spellStart"/>
      <w:r>
        <w:rPr>
          <w:rFonts w:cs="Arial"/>
          <w:szCs w:val="18"/>
          <w:lang w:val="en-US"/>
        </w:rPr>
        <w:t>HiSilicon</w:t>
      </w:r>
      <w:proofErr w:type="spellEnd"/>
    </w:p>
    <w:p w14:paraId="560484F3" w14:textId="77777777" w:rsidR="004A77A9" w:rsidRDefault="004A77A9" w:rsidP="004A77A9">
      <w:pPr>
        <w:pStyle w:val="Reference"/>
        <w:spacing w:after="60"/>
        <w:rPr>
          <w:rFonts w:cs="Arial"/>
          <w:szCs w:val="18"/>
          <w:lang w:val="en-US"/>
        </w:rPr>
      </w:pPr>
      <w:r>
        <w:rPr>
          <w:rFonts w:cs="Arial"/>
          <w:szCs w:val="18"/>
          <w:lang w:val="en-US"/>
        </w:rPr>
        <w:lastRenderedPageBreak/>
        <w:t>R2-1904195 Further considerations on Mobility impacts for LEO based networks – Nokia, Nokia Shanghai Bell</w:t>
      </w:r>
    </w:p>
    <w:p w14:paraId="066D4C33" w14:textId="77777777" w:rsidR="004A77A9" w:rsidRDefault="004A77A9" w:rsidP="004A77A9">
      <w:pPr>
        <w:pStyle w:val="Reference"/>
        <w:spacing w:after="60"/>
        <w:rPr>
          <w:rFonts w:cs="Arial"/>
          <w:szCs w:val="18"/>
          <w:lang w:val="en-US"/>
        </w:rPr>
      </w:pPr>
      <w:r>
        <w:rPr>
          <w:rFonts w:cs="Arial"/>
          <w:szCs w:val="18"/>
          <w:lang w:val="en-US"/>
        </w:rPr>
        <w:t>R2-1904318 Utilization of beam footprint information for mobility management – CMCC</w:t>
      </w:r>
    </w:p>
    <w:p w14:paraId="2A1105EA" w14:textId="4771F578" w:rsidR="004A77A9" w:rsidRDefault="004A77A9" w:rsidP="004A77A9">
      <w:pPr>
        <w:pStyle w:val="Reference"/>
        <w:spacing w:after="60"/>
        <w:rPr>
          <w:rFonts w:cs="Arial"/>
          <w:szCs w:val="18"/>
          <w:lang w:val="en-US"/>
        </w:rPr>
      </w:pPr>
      <w:r>
        <w:rPr>
          <w:rFonts w:cs="Arial"/>
          <w:szCs w:val="18"/>
          <w:lang w:val="en-US"/>
        </w:rPr>
        <w:t>R2-1902559 Mobility for Non-Terrestrial Networks – InterDigital Inc.</w:t>
      </w:r>
    </w:p>
    <w:p w14:paraId="79E2C56C" w14:textId="05AC60DF" w:rsidR="00A93A68" w:rsidRDefault="00A93A68" w:rsidP="004A77A9">
      <w:pPr>
        <w:pStyle w:val="Reference"/>
        <w:spacing w:after="60"/>
        <w:rPr>
          <w:rFonts w:cs="Arial"/>
          <w:szCs w:val="18"/>
          <w:lang w:val="en-US"/>
        </w:rPr>
      </w:pPr>
      <w:r>
        <w:rPr>
          <w:rFonts w:cs="Arial"/>
          <w:szCs w:val="18"/>
          <w:lang w:val="en-US"/>
        </w:rPr>
        <w:t>R2-1907158 Connected mode mobility aspects for NTN GEO – Ericsson</w:t>
      </w:r>
    </w:p>
    <w:p w14:paraId="6E124AB4" w14:textId="3C3130CA" w:rsidR="00A93A68" w:rsidRDefault="00A93A68" w:rsidP="004A77A9">
      <w:pPr>
        <w:pStyle w:val="Reference"/>
        <w:spacing w:after="60"/>
        <w:rPr>
          <w:rFonts w:cs="Arial"/>
          <w:szCs w:val="18"/>
          <w:lang w:val="en-US"/>
        </w:rPr>
      </w:pPr>
      <w:r>
        <w:rPr>
          <w:rFonts w:cs="Arial"/>
          <w:szCs w:val="18"/>
          <w:lang w:val="en-US"/>
        </w:rPr>
        <w:t xml:space="preserve">R2-1907789 CP Latency for NTN – Huawei, </w:t>
      </w:r>
      <w:proofErr w:type="spellStart"/>
      <w:r>
        <w:rPr>
          <w:rFonts w:cs="Arial"/>
          <w:szCs w:val="18"/>
          <w:lang w:val="en-US"/>
        </w:rPr>
        <w:t>HiSilicon</w:t>
      </w:r>
      <w:proofErr w:type="spellEnd"/>
    </w:p>
    <w:p w14:paraId="06A01143" w14:textId="05EDA43E" w:rsidR="004A77A9" w:rsidRDefault="004A77A9" w:rsidP="004A77A9">
      <w:pPr>
        <w:pStyle w:val="Heading1"/>
      </w:pPr>
      <w:r>
        <w:t>Text Proposal</w:t>
      </w:r>
    </w:p>
    <w:p w14:paraId="1B00908D" w14:textId="6B037CB3" w:rsidR="00445468" w:rsidRPr="00445468" w:rsidRDefault="00445468" w:rsidP="00445468">
      <w:pPr>
        <w:jc w:val="center"/>
        <w:rPr>
          <w:rFonts w:ascii="Arial" w:hAnsi="Arial" w:cs="Arial"/>
          <w:sz w:val="20"/>
        </w:rPr>
      </w:pPr>
      <w:r w:rsidRPr="00445468">
        <w:rPr>
          <w:rFonts w:ascii="Arial" w:hAnsi="Arial" w:cs="Arial"/>
          <w:sz w:val="20"/>
          <w:highlight w:val="yellow"/>
        </w:rPr>
        <w:t>&lt;Unchanged text omitted&gt;</w:t>
      </w:r>
    </w:p>
    <w:p w14:paraId="7FB631CF" w14:textId="77777777" w:rsidR="00445468" w:rsidRPr="00445468" w:rsidRDefault="00445468" w:rsidP="00445468">
      <w:pPr>
        <w:rPr>
          <w:rFonts w:ascii="Arial" w:hAnsi="Arial" w:cs="Arial"/>
          <w:sz w:val="32"/>
        </w:rPr>
      </w:pPr>
      <w:r w:rsidRPr="00445468">
        <w:rPr>
          <w:rFonts w:ascii="Arial" w:hAnsi="Arial" w:cs="Arial"/>
          <w:sz w:val="32"/>
        </w:rPr>
        <w:t>7.3.2     Connected Mode mobility enhancements</w:t>
      </w:r>
    </w:p>
    <w:p w14:paraId="437D8F26" w14:textId="3C8D6DFD" w:rsidR="009F32DB" w:rsidRPr="00F63CDC" w:rsidRDefault="00633BA7" w:rsidP="00633BA7">
      <w:pPr>
        <w:jc w:val="both"/>
        <w:rPr>
          <w:rFonts w:ascii="Arial" w:hAnsi="Arial" w:cs="Arial"/>
          <w:color w:val="C00000"/>
          <w:sz w:val="32"/>
          <w:szCs w:val="32"/>
          <w:u w:val="single"/>
        </w:rPr>
      </w:pPr>
      <w:r w:rsidRPr="00F63CDC">
        <w:rPr>
          <w:rFonts w:ascii="Arial" w:hAnsi="Arial" w:cs="Arial"/>
          <w:color w:val="C00000"/>
          <w:sz w:val="32"/>
          <w:szCs w:val="32"/>
          <w:u w:val="single"/>
        </w:rPr>
        <w:t xml:space="preserve">7.3.2.X </w:t>
      </w:r>
      <w:r w:rsidR="009F32DB" w:rsidRPr="00F63CDC">
        <w:rPr>
          <w:rFonts w:ascii="Arial" w:hAnsi="Arial" w:cs="Arial"/>
          <w:color w:val="C00000"/>
          <w:sz w:val="32"/>
          <w:szCs w:val="32"/>
          <w:u w:val="single"/>
        </w:rPr>
        <w:t>Mobility Challenges to Non-terrestrial networks</w:t>
      </w:r>
    </w:p>
    <w:p w14:paraId="42E98CF5" w14:textId="2E051420" w:rsidR="009F32DB" w:rsidRPr="00F63CDC" w:rsidRDefault="00D0399E" w:rsidP="00633BA7">
      <w:pPr>
        <w:jc w:val="both"/>
        <w:rPr>
          <w:rFonts w:ascii="Arial" w:hAnsi="Arial" w:cs="Arial"/>
          <w:color w:val="C00000"/>
          <w:sz w:val="28"/>
          <w:szCs w:val="28"/>
          <w:u w:val="single"/>
        </w:rPr>
      </w:pPr>
      <w:r w:rsidRPr="00F63CDC">
        <w:rPr>
          <w:rFonts w:ascii="Arial" w:hAnsi="Arial" w:cs="Arial"/>
          <w:color w:val="C00000"/>
          <w:sz w:val="28"/>
          <w:szCs w:val="28"/>
          <w:u w:val="single"/>
        </w:rPr>
        <w:t>7.3.2.X.X Latency</w:t>
      </w:r>
      <w:r w:rsidR="009F32DB" w:rsidRPr="00F63CDC">
        <w:rPr>
          <w:rFonts w:ascii="Arial" w:hAnsi="Arial" w:cs="Arial"/>
          <w:color w:val="C00000"/>
          <w:sz w:val="28"/>
          <w:szCs w:val="28"/>
          <w:u w:val="single"/>
        </w:rPr>
        <w:t xml:space="preserve"> to mobility signalling</w:t>
      </w:r>
    </w:p>
    <w:p w14:paraId="1356A814"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Propagation delay in NTN systems on the </w:t>
      </w:r>
      <w:proofErr w:type="spellStart"/>
      <w:r w:rsidRPr="00F63CDC">
        <w:rPr>
          <w:rFonts w:ascii="Arial" w:hAnsi="Arial" w:cs="Arial"/>
          <w:color w:val="C00000"/>
          <w:sz w:val="20"/>
          <w:u w:val="single"/>
        </w:rPr>
        <w:t>Uu</w:t>
      </w:r>
      <w:proofErr w:type="spellEnd"/>
      <w:r w:rsidRPr="00F63CDC">
        <w:rPr>
          <w:rFonts w:ascii="Arial" w:hAnsi="Arial" w:cs="Arial"/>
          <w:color w:val="C00000"/>
          <w:sz w:val="20"/>
          <w:u w:val="single"/>
        </w:rPr>
        <w:t xml:space="preserve"> interface is orders of magnitude higher than terrestrial systems (e.g. up to 544 </w:t>
      </w:r>
      <w:proofErr w:type="spellStart"/>
      <w:r w:rsidRPr="00F63CDC">
        <w:rPr>
          <w:rFonts w:ascii="Arial" w:hAnsi="Arial" w:cs="Arial"/>
          <w:color w:val="C00000"/>
          <w:sz w:val="20"/>
          <w:u w:val="single"/>
        </w:rPr>
        <w:t>ms</w:t>
      </w:r>
      <w:proofErr w:type="spellEnd"/>
      <w:r w:rsidRPr="00F63CDC">
        <w:rPr>
          <w:rFonts w:ascii="Arial" w:hAnsi="Arial" w:cs="Arial"/>
          <w:color w:val="C00000"/>
          <w:sz w:val="20"/>
          <w:u w:val="single"/>
        </w:rPr>
        <w:t xml:space="preserve"> RTT for GEO scenarios, 28.4 </w:t>
      </w:r>
      <w:proofErr w:type="spellStart"/>
      <w:r w:rsidRPr="00F63CDC">
        <w:rPr>
          <w:rFonts w:ascii="Arial" w:hAnsi="Arial" w:cs="Arial"/>
          <w:color w:val="C00000"/>
          <w:sz w:val="20"/>
          <w:u w:val="single"/>
        </w:rPr>
        <w:t>ms</w:t>
      </w:r>
      <w:proofErr w:type="spellEnd"/>
      <w:r w:rsidRPr="00F63CDC">
        <w:rPr>
          <w:rFonts w:ascii="Arial" w:hAnsi="Arial" w:cs="Arial"/>
          <w:color w:val="C00000"/>
          <w:sz w:val="20"/>
          <w:u w:val="single"/>
        </w:rPr>
        <w:t xml:space="preserve"> RTT for LEO scenarios). This introduces additional latency to mobility signaling such as measurement reporting, reception of the HO command, and HO request/ACK (if the target cell originates from a different satellite). Signaling latency on the </w:t>
      </w:r>
      <w:proofErr w:type="spellStart"/>
      <w:r w:rsidRPr="00F63CDC">
        <w:rPr>
          <w:rFonts w:ascii="Arial" w:hAnsi="Arial" w:cs="Arial"/>
          <w:color w:val="C00000"/>
          <w:sz w:val="20"/>
          <w:u w:val="single"/>
        </w:rPr>
        <w:t>Xn</w:t>
      </w:r>
      <w:proofErr w:type="spellEnd"/>
      <w:r w:rsidRPr="00F63CDC">
        <w:rPr>
          <w:rFonts w:ascii="Arial" w:hAnsi="Arial" w:cs="Arial"/>
          <w:color w:val="C00000"/>
          <w:sz w:val="20"/>
          <w:u w:val="single"/>
        </w:rPr>
        <w:t xml:space="preserve"> interface is dependent on constellation assumptions and satellite configuration (i.e. transparent vs. regenerative) and may be transmitted directly between satellites via inter-satellite links (ISL) or via other means.</w:t>
      </w:r>
    </w:p>
    <w:p w14:paraId="7E7ABDA9" w14:textId="5D6B9E09"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The cumulative delay incurred by transmission of the above-listed signals can greatly increase the HO latency and introduce potential service interruptions. Deployment scenarios most affected by such signaling latency are GEO (scenarios A and B), and non-GEO with a transparent configuration (scenarios C1 and C2). </w:t>
      </w:r>
      <w:r w:rsidR="00F53545" w:rsidRPr="00F63CDC">
        <w:rPr>
          <w:rFonts w:ascii="Arial" w:hAnsi="Arial" w:cs="Arial"/>
          <w:color w:val="C00000"/>
          <w:sz w:val="20"/>
          <w:u w:val="single"/>
          <w:lang w:val="en-GB" w:eastAsia="zh-CN"/>
        </w:rPr>
        <w:t>B</w:t>
      </w:r>
      <w:r w:rsidRPr="00F63CDC">
        <w:rPr>
          <w:rFonts w:ascii="Arial" w:hAnsi="Arial" w:cs="Arial"/>
          <w:color w:val="C00000"/>
          <w:sz w:val="20"/>
          <w:u w:val="single"/>
          <w:lang w:val="en-GB" w:eastAsia="zh-CN"/>
        </w:rPr>
        <w:t>eam level mobility is under the purview of RAN1, thus only cell level mobility is considered from RAN2 perspective</w:t>
      </w:r>
      <w:r w:rsidRPr="00F63CDC">
        <w:rPr>
          <w:rFonts w:ascii="Arial" w:hAnsi="Arial" w:cs="Arial"/>
          <w:color w:val="C00000"/>
          <w:sz w:val="20"/>
          <w:u w:val="single"/>
        </w:rPr>
        <w:t>.</w:t>
      </w:r>
    </w:p>
    <w:p w14:paraId="7BABB517" w14:textId="19FD94AE"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Observations 1 and 2.</w:t>
      </w:r>
    </w:p>
    <w:p w14:paraId="6ED77836" w14:textId="3251F9AF" w:rsidR="0088198A" w:rsidRPr="00F63CDC" w:rsidRDefault="0088198A" w:rsidP="00BC0F4A">
      <w:pPr>
        <w:ind w:left="1440" w:hanging="1440"/>
        <w:jc w:val="both"/>
        <w:rPr>
          <w:rFonts w:ascii="Arial" w:hAnsi="Arial" w:cs="Arial"/>
          <w:color w:val="C00000"/>
          <w:sz w:val="20"/>
          <w:u w:val="single"/>
        </w:rPr>
      </w:pPr>
      <w:r w:rsidRPr="00F63CDC">
        <w:rPr>
          <w:rFonts w:ascii="Arial" w:hAnsi="Arial" w:cs="Arial"/>
          <w:color w:val="C00000"/>
          <w:sz w:val="20"/>
          <w:u w:val="single"/>
        </w:rPr>
        <w:t>Editor</w:t>
      </w:r>
      <w:r w:rsidR="005A2A1E" w:rsidRPr="00F63CDC">
        <w:rPr>
          <w:rFonts w:ascii="Arial" w:hAnsi="Arial" w:cs="Arial"/>
          <w:color w:val="C00000"/>
          <w:sz w:val="20"/>
          <w:u w:val="single"/>
        </w:rPr>
        <w:t>’</w:t>
      </w:r>
      <w:r w:rsidRPr="00F63CDC">
        <w:rPr>
          <w:rFonts w:ascii="Arial" w:hAnsi="Arial" w:cs="Arial"/>
          <w:color w:val="C00000"/>
          <w:sz w:val="20"/>
          <w:u w:val="single"/>
        </w:rPr>
        <w:t xml:space="preserve">s note: </w:t>
      </w:r>
      <w:r w:rsidRPr="00F63CDC">
        <w:rPr>
          <w:rFonts w:ascii="Arial" w:hAnsi="Arial" w:cs="Arial"/>
          <w:color w:val="C00000"/>
          <w:sz w:val="20"/>
          <w:u w:val="single"/>
        </w:rPr>
        <w:tab/>
        <w:t xml:space="preserve">FFS potential </w:t>
      </w:r>
      <w:r w:rsidR="005A2A1E" w:rsidRPr="00F63CDC">
        <w:rPr>
          <w:rFonts w:ascii="Arial" w:hAnsi="Arial" w:cs="Arial"/>
          <w:color w:val="C00000"/>
          <w:sz w:val="20"/>
          <w:u w:val="single"/>
        </w:rPr>
        <w:t>mobility enhancements.</w:t>
      </w:r>
    </w:p>
    <w:p w14:paraId="0A7F4CAD" w14:textId="163F3039" w:rsidR="00633BA7" w:rsidRPr="00F63CDC" w:rsidRDefault="00D0399E" w:rsidP="00633BA7">
      <w:pPr>
        <w:jc w:val="both"/>
        <w:rPr>
          <w:rFonts w:ascii="Arial" w:hAnsi="Arial" w:cs="Arial"/>
          <w:color w:val="C00000"/>
          <w:sz w:val="28"/>
          <w:szCs w:val="28"/>
          <w:u w:val="single"/>
        </w:rPr>
      </w:pPr>
      <w:r w:rsidRPr="00F63CDC">
        <w:rPr>
          <w:rFonts w:ascii="Arial" w:hAnsi="Arial" w:cs="Arial"/>
          <w:color w:val="C00000"/>
          <w:sz w:val="28"/>
          <w:szCs w:val="28"/>
          <w:u w:val="single"/>
        </w:rPr>
        <w:t>7.3.2.X.X Measurement</w:t>
      </w:r>
      <w:r w:rsidR="00633BA7" w:rsidRPr="00F63CDC">
        <w:rPr>
          <w:rFonts w:ascii="Arial" w:hAnsi="Arial" w:cs="Arial"/>
          <w:color w:val="C00000"/>
          <w:sz w:val="28"/>
          <w:szCs w:val="28"/>
          <w:u w:val="single"/>
        </w:rPr>
        <w:t xml:space="preserve"> validity</w:t>
      </w:r>
    </w:p>
    <w:p w14:paraId="3B306F19" w14:textId="77777777" w:rsidR="00216217" w:rsidRPr="00F63CDC" w:rsidRDefault="00216217" w:rsidP="00216217">
      <w:pPr>
        <w:jc w:val="both"/>
        <w:rPr>
          <w:rFonts w:ascii="Arial" w:hAnsi="Arial" w:cs="Arial"/>
          <w:color w:val="C00000"/>
          <w:sz w:val="20"/>
          <w:szCs w:val="20"/>
          <w:u w:val="single"/>
        </w:rPr>
      </w:pPr>
      <w:r w:rsidRPr="00F63CDC">
        <w:rPr>
          <w:rFonts w:ascii="Arial" w:hAnsi="Arial" w:cs="Arial"/>
          <w:color w:val="C00000"/>
          <w:sz w:val="20"/>
          <w:u w:val="single"/>
        </w:rPr>
        <w:t>Baseline mobility procedures in Rel-15 NR leverage such UE measurement reports, transmitted periodically, or triggered based on measurement events such as the RSRP/RSRQ of a neighboring cell becoming better than the serving cell (i.e. the A3 measurement event). The UE may then be handed over to a target cell via reception of a HO command from the NW, which contains the target cell configuration.</w:t>
      </w:r>
    </w:p>
    <w:p w14:paraId="4C22E075"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Extending such mechanisms to NTN introduces the risk of outdated measurements due to high propagation delay and network node movement. If there is sufficient delay between transmission of the measurement report and reception of the HO command, the measurements may no longer be valid, possibly leading to an incorrect mobility action e.g. early/late handover. </w:t>
      </w:r>
    </w:p>
    <w:p w14:paraId="7109C231" w14:textId="44CD4A4C"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Should handover be performed too early, there is a risk the UE will ping pong back to the original cell, and should it occur too late the UE will be camped on a sub-optimal cell. Both cases will lead to an overall reduction in handover robustness, and possible service interruption due to mobility signaling latency as described in the previous section.</w:t>
      </w:r>
    </w:p>
    <w:p w14:paraId="5840FFA3" w14:textId="7131804E"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 3.</w:t>
      </w:r>
    </w:p>
    <w:p w14:paraId="6A7F1356" w14:textId="5ECA5ADF"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lastRenderedPageBreak/>
        <w:t xml:space="preserve">Editor’s note: </w:t>
      </w:r>
      <w:r w:rsidRPr="00F63CDC">
        <w:rPr>
          <w:rFonts w:ascii="Arial" w:hAnsi="Arial" w:cs="Arial"/>
          <w:color w:val="C00000"/>
          <w:sz w:val="20"/>
          <w:u w:val="single"/>
        </w:rPr>
        <w:tab/>
        <w:t xml:space="preserve">    FFS potential mobility enhancements.</w:t>
      </w:r>
    </w:p>
    <w:p w14:paraId="531C6AAB" w14:textId="5206AB79" w:rsidR="009F32DB" w:rsidRPr="00F63CDC" w:rsidRDefault="00D0399E" w:rsidP="00633BA7">
      <w:pPr>
        <w:jc w:val="both"/>
        <w:rPr>
          <w:rFonts w:ascii="Arial" w:hAnsi="Arial" w:cs="Arial"/>
          <w:color w:val="C00000"/>
          <w:sz w:val="28"/>
          <w:u w:val="single"/>
        </w:rPr>
      </w:pPr>
      <w:r w:rsidRPr="00F63CDC">
        <w:rPr>
          <w:rFonts w:ascii="Arial" w:hAnsi="Arial" w:cs="Arial"/>
          <w:color w:val="C00000"/>
          <w:sz w:val="28"/>
          <w:szCs w:val="28"/>
          <w:u w:val="single"/>
        </w:rPr>
        <w:t>7.3.2.X.X Cell</w:t>
      </w:r>
      <w:r w:rsidR="009F32DB" w:rsidRPr="00F63CDC">
        <w:rPr>
          <w:rFonts w:ascii="Arial" w:hAnsi="Arial" w:cs="Arial"/>
          <w:color w:val="C00000"/>
          <w:sz w:val="28"/>
          <w:u w:val="single"/>
        </w:rPr>
        <w:t xml:space="preserve"> overlap and near-far effect in NTN</w:t>
      </w:r>
    </w:p>
    <w:p w14:paraId="732226E9"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The total footprint of satellite coverage consists of multiple spot beams with typical diameters ranging from 200-1000 km in GEO deployments (scenarios A and B), and 100-500 km in LEO deployments (scenarios C1 to D2). Though estimated as hexagonal and mutually exclusive, in practical deployments there are areas of overlap at the beam edge which can be significant when compared to the terrestrial case. </w:t>
      </w:r>
    </w:p>
    <w:p w14:paraId="003BB1CF" w14:textId="307AB31F"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In terrestrial systems, a UE can determine it is near the edge of a cell due to the near-far effect – a clear difference in RSRP in the center of a cell as compared to cell edge. Such an effect may not be as pronounced in non-terrestrial deployments, thus the difference in signal strength between two beams in overlap region may be low.</w:t>
      </w:r>
    </w:p>
    <w:p w14:paraId="4E7A4D88" w14:textId="3E1822A9"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As the Rel-15 handover mechanism is based the A3 measurement events, the UE may have difficulty distinguishing the better cell in areas of overlap. Considered in conjunction with possibly outdated measurements as elaborated on in section 7.3.2.X.X, such a scenario could lead to the UE ping-ponging back and forth between cells, and an overall reduction in handover robustness.</w:t>
      </w:r>
    </w:p>
    <w:p w14:paraId="4BF73786" w14:textId="09405A97"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 4.</w:t>
      </w:r>
    </w:p>
    <w:p w14:paraId="5283428E" w14:textId="77777777"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7B6A9079" w14:textId="44828C19" w:rsidR="004B36A9" w:rsidRPr="00F63CDC" w:rsidRDefault="00D0399E" w:rsidP="004B36A9">
      <w:pPr>
        <w:jc w:val="both"/>
        <w:rPr>
          <w:rFonts w:ascii="Arial" w:hAnsi="Arial" w:cs="Arial"/>
          <w:color w:val="C00000"/>
          <w:sz w:val="28"/>
          <w:szCs w:val="28"/>
          <w:u w:val="single"/>
        </w:rPr>
      </w:pPr>
      <w:r w:rsidRPr="00F63CDC">
        <w:rPr>
          <w:rFonts w:ascii="Arial" w:hAnsi="Arial" w:cs="Arial"/>
          <w:color w:val="C00000"/>
          <w:sz w:val="28"/>
          <w:szCs w:val="28"/>
          <w:u w:val="single"/>
        </w:rPr>
        <w:t>7.3.2.X.X Frequency</w:t>
      </w:r>
      <w:r w:rsidR="004B36A9" w:rsidRPr="00F63CDC">
        <w:rPr>
          <w:rFonts w:ascii="Arial" w:hAnsi="Arial" w:cs="Arial"/>
          <w:color w:val="C00000"/>
          <w:sz w:val="28"/>
          <w:szCs w:val="28"/>
          <w:u w:val="single"/>
        </w:rPr>
        <w:t xml:space="preserve"> of handover and UE speed</w:t>
      </w:r>
    </w:p>
    <w:p w14:paraId="5C1E7DBC" w14:textId="77777777"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Satellites in non-GEO orbits move with high speed relative to a fixed position on earth, leading to frequent and unavoidable handover for stationary UEs. As UE speeds up to 1000 km/</w:t>
      </w:r>
      <w:proofErr w:type="spellStart"/>
      <w:r w:rsidRPr="00F63CDC">
        <w:rPr>
          <w:rFonts w:ascii="Arial" w:hAnsi="Arial" w:cs="Arial"/>
          <w:color w:val="C00000"/>
          <w:sz w:val="20"/>
          <w:u w:val="single"/>
        </w:rPr>
        <w:t>hr</w:t>
      </w:r>
      <w:proofErr w:type="spellEnd"/>
      <w:r w:rsidRPr="00F63CDC">
        <w:rPr>
          <w:rFonts w:ascii="Arial" w:hAnsi="Arial" w:cs="Arial"/>
          <w:color w:val="C00000"/>
          <w:sz w:val="20"/>
          <w:u w:val="single"/>
        </w:rPr>
        <w:t xml:space="preserve"> are considered in NTN, depending on the direction of UE movement, the frequency of handover for moving UEs could be slightly reduced (UE movement in same direction as satellite) or be even greater (UE movement in opposite direction of satellite). </w:t>
      </w:r>
    </w:p>
    <w:p w14:paraId="18CA6C4B" w14:textId="113B4BD0" w:rsidR="00216217" w:rsidRPr="00F63CDC" w:rsidRDefault="00216217" w:rsidP="00216217">
      <w:pPr>
        <w:jc w:val="both"/>
        <w:rPr>
          <w:rFonts w:ascii="Arial" w:hAnsi="Arial" w:cs="Arial"/>
          <w:color w:val="C00000"/>
          <w:sz w:val="20"/>
          <w:u w:val="single"/>
        </w:rPr>
      </w:pPr>
      <w:r w:rsidRPr="00F63CDC">
        <w:rPr>
          <w:rFonts w:ascii="Arial" w:hAnsi="Arial" w:cs="Arial"/>
          <w:color w:val="C00000"/>
          <w:sz w:val="20"/>
          <w:u w:val="single"/>
        </w:rPr>
        <w:t xml:space="preserve">Such frequent and unavoidable handover may result in significant signaling overhead and impact power consumption. The frequency of handover also compounds challenges related to mobility signaling latency, measurement validity, and cell overlap/near far effect elaborated on in previous sections 7.3.2.X.X – 7.3.2.X.X. </w:t>
      </w:r>
    </w:p>
    <w:p w14:paraId="28A9284E" w14:textId="77777777" w:rsidR="00216217" w:rsidRPr="00F63CDC" w:rsidRDefault="00216217" w:rsidP="00216217">
      <w:pPr>
        <w:jc w:val="both"/>
        <w:rPr>
          <w:rFonts w:ascii="Arial" w:hAnsi="Arial" w:cs="Arial"/>
          <w:color w:val="C00000"/>
          <w:sz w:val="20"/>
          <w:szCs w:val="20"/>
          <w:u w:val="single"/>
        </w:rPr>
      </w:pPr>
      <w:r w:rsidRPr="00F63CDC">
        <w:rPr>
          <w:rFonts w:ascii="Arial" w:hAnsi="Arial" w:cs="Arial"/>
          <w:color w:val="C00000"/>
          <w:sz w:val="20"/>
          <w:u w:val="single"/>
        </w:rPr>
        <w:t>Satellites in GEO deployments (scenarios A and B) remain approximately stationary, thus do not experience such issues for stationary UEs. Though mobile UEs still move at high speeds, due to larger cell sizes it is expected that challenges regarding handover frequency in GEO deployments should be down-prioritized.</w:t>
      </w:r>
    </w:p>
    <w:p w14:paraId="00A3F8A9" w14:textId="7AB6C8B5"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(to be removed): </w:t>
      </w:r>
      <w:r w:rsidRPr="00F63CDC">
        <w:rPr>
          <w:rFonts w:ascii="Arial" w:hAnsi="Arial" w:cs="Arial"/>
          <w:color w:val="C00000"/>
          <w:sz w:val="20"/>
          <w:u w:val="single"/>
        </w:rPr>
        <w:tab/>
        <w:t>The above text refers to Observations 5 and 6.</w:t>
      </w:r>
    </w:p>
    <w:p w14:paraId="109D137C" w14:textId="04E00390"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12EB3EAD" w14:textId="1BE94C18" w:rsidR="009A1967" w:rsidRPr="00F63CDC" w:rsidRDefault="00D0399E" w:rsidP="009A1967">
      <w:pPr>
        <w:jc w:val="both"/>
        <w:rPr>
          <w:rFonts w:ascii="Arial" w:hAnsi="Arial" w:cs="Arial"/>
          <w:color w:val="C00000"/>
          <w:sz w:val="28"/>
          <w:szCs w:val="28"/>
          <w:u w:val="single"/>
        </w:rPr>
      </w:pPr>
      <w:r w:rsidRPr="00F63CDC">
        <w:rPr>
          <w:rFonts w:ascii="Arial" w:hAnsi="Arial" w:cs="Arial"/>
          <w:color w:val="C00000"/>
          <w:sz w:val="28"/>
          <w:szCs w:val="28"/>
          <w:u w:val="single"/>
        </w:rPr>
        <w:t>7.3.2.X.X Dynamic</w:t>
      </w:r>
      <w:r w:rsidR="009A1967" w:rsidRPr="00F63CDC">
        <w:rPr>
          <w:rFonts w:ascii="Arial" w:hAnsi="Arial" w:cs="Arial"/>
          <w:color w:val="C00000"/>
          <w:sz w:val="28"/>
          <w:szCs w:val="28"/>
          <w:u w:val="single"/>
        </w:rPr>
        <w:t xml:space="preserve"> neighbor cell set</w:t>
      </w:r>
    </w:p>
    <w:p w14:paraId="269C92AC" w14:textId="77777777" w:rsidR="00A43DF0" w:rsidRPr="00A43DF0" w:rsidRDefault="00A43DF0" w:rsidP="00A43DF0">
      <w:pPr>
        <w:tabs>
          <w:tab w:val="left" w:pos="1245"/>
        </w:tabs>
        <w:jc w:val="both"/>
        <w:rPr>
          <w:rFonts w:ascii="Arial" w:hAnsi="Arial" w:cs="Arial"/>
          <w:color w:val="C00000"/>
          <w:sz w:val="20"/>
          <w:u w:val="single"/>
        </w:rPr>
      </w:pPr>
      <w:r w:rsidRPr="00A43DF0">
        <w:rPr>
          <w:rFonts w:ascii="Arial" w:hAnsi="Arial" w:cs="Arial"/>
          <w:color w:val="C00000"/>
          <w:sz w:val="20"/>
          <w:u w:val="single"/>
        </w:rPr>
        <w:t>In non-GEO deployments (i.e. scenarios C1, C2, D1 and D2) satellites constantly move with respect to a fixed point on earth. Depending on implementation assumptions i.e. if a PCI/SSB combination is specific to a satellite, the neighboring cell set may constantly change for both stationary and moving UEs. As noted in [16], such variation may have several implications to the UE, specifically:</w:t>
      </w:r>
    </w:p>
    <w:p w14:paraId="5FB3A60D" w14:textId="77777777" w:rsidR="00A43DF0" w:rsidRPr="00A43DF0" w:rsidRDefault="00A43DF0" w:rsidP="00A43DF0">
      <w:pPr>
        <w:pStyle w:val="ListParagraph"/>
        <w:numPr>
          <w:ilvl w:val="0"/>
          <w:numId w:val="12"/>
        </w:numPr>
        <w:tabs>
          <w:tab w:val="left" w:pos="1245"/>
        </w:tabs>
        <w:jc w:val="both"/>
        <w:rPr>
          <w:rFonts w:ascii="Arial" w:hAnsi="Arial" w:cs="Arial"/>
          <w:color w:val="C00000"/>
          <w:sz w:val="20"/>
          <w:u w:val="single"/>
        </w:rPr>
      </w:pPr>
      <w:r w:rsidRPr="00A43DF0">
        <w:rPr>
          <w:rFonts w:ascii="Arial" w:hAnsi="Arial" w:cs="Arial"/>
          <w:color w:val="C00000"/>
          <w:sz w:val="20"/>
          <w:u w:val="single"/>
        </w:rPr>
        <w:t>When evaluating potential HO candidates, consideration should be given to whether the candidate cell(s) remain valid and for how long.</w:t>
      </w:r>
    </w:p>
    <w:p w14:paraId="09F62B33" w14:textId="77777777" w:rsidR="00A43DF0" w:rsidRPr="00A43DF0" w:rsidRDefault="00A43DF0" w:rsidP="00A43DF0">
      <w:pPr>
        <w:pStyle w:val="ListParagraph"/>
        <w:numPr>
          <w:ilvl w:val="0"/>
          <w:numId w:val="12"/>
        </w:numPr>
        <w:tabs>
          <w:tab w:val="left" w:pos="1245"/>
        </w:tabs>
        <w:jc w:val="both"/>
        <w:rPr>
          <w:rFonts w:ascii="Arial" w:hAnsi="Arial" w:cs="Arial"/>
          <w:color w:val="C00000"/>
          <w:sz w:val="20"/>
          <w:u w:val="single"/>
        </w:rPr>
      </w:pPr>
      <w:r w:rsidRPr="00A43DF0">
        <w:rPr>
          <w:rFonts w:ascii="Arial" w:hAnsi="Arial" w:cs="Arial"/>
          <w:color w:val="C00000"/>
          <w:sz w:val="20"/>
          <w:u w:val="single"/>
        </w:rPr>
        <w:t>Intercell mechanisms (e.g. when interference coordination schemes are deployed) require frequent adjustment.</w:t>
      </w:r>
    </w:p>
    <w:p w14:paraId="77430E5C" w14:textId="01CF1030" w:rsidR="00216217" w:rsidRPr="00F63CDC" w:rsidRDefault="00216217" w:rsidP="00216217">
      <w:pPr>
        <w:ind w:left="1440" w:hanging="1440"/>
        <w:jc w:val="both"/>
        <w:rPr>
          <w:rFonts w:ascii="Arial" w:hAnsi="Arial" w:cs="Arial"/>
          <w:color w:val="C00000"/>
          <w:sz w:val="20"/>
          <w:u w:val="single"/>
        </w:rPr>
      </w:pPr>
      <w:r w:rsidRPr="00F63CDC">
        <w:rPr>
          <w:rFonts w:ascii="Arial" w:hAnsi="Arial" w:cs="Arial"/>
          <w:color w:val="C00000"/>
          <w:sz w:val="20"/>
          <w:u w:val="single"/>
        </w:rPr>
        <w:lastRenderedPageBreak/>
        <w:t xml:space="preserve">Editor’s note (to be removed): </w:t>
      </w:r>
      <w:r w:rsidRPr="00F63CDC">
        <w:rPr>
          <w:rFonts w:ascii="Arial" w:hAnsi="Arial" w:cs="Arial"/>
          <w:color w:val="C00000"/>
          <w:sz w:val="20"/>
          <w:u w:val="single"/>
        </w:rPr>
        <w:tab/>
        <w:t>The above text refers to Observation 7.</w:t>
      </w:r>
    </w:p>
    <w:p w14:paraId="042A4072" w14:textId="513ECB67" w:rsidR="005A2A1E" w:rsidRPr="00F63CDC" w:rsidRDefault="005A2A1E" w:rsidP="005A2A1E">
      <w:pPr>
        <w:ind w:left="1440" w:hanging="1440"/>
        <w:jc w:val="both"/>
        <w:rPr>
          <w:rFonts w:ascii="Arial" w:hAnsi="Arial" w:cs="Arial"/>
          <w:color w:val="C00000"/>
          <w:sz w:val="20"/>
          <w:u w:val="single"/>
        </w:rPr>
      </w:pPr>
      <w:r w:rsidRPr="00F63CDC">
        <w:rPr>
          <w:rFonts w:ascii="Arial" w:hAnsi="Arial" w:cs="Arial"/>
          <w:color w:val="C00000"/>
          <w:sz w:val="20"/>
          <w:u w:val="single"/>
        </w:rPr>
        <w:t xml:space="preserve">Editor’s note: </w:t>
      </w:r>
      <w:r w:rsidRPr="00F63CDC">
        <w:rPr>
          <w:rFonts w:ascii="Arial" w:hAnsi="Arial" w:cs="Arial"/>
          <w:color w:val="C00000"/>
          <w:sz w:val="20"/>
          <w:u w:val="single"/>
        </w:rPr>
        <w:tab/>
        <w:t xml:space="preserve">    FFS potential mobility enhancements.</w:t>
      </w:r>
    </w:p>
    <w:p w14:paraId="1DADFA08" w14:textId="52292527" w:rsidR="00345955" w:rsidRPr="00F63CDC" w:rsidRDefault="00D0399E" w:rsidP="00345955">
      <w:pPr>
        <w:jc w:val="both"/>
        <w:rPr>
          <w:rFonts w:ascii="Arial" w:hAnsi="Arial" w:cs="Arial"/>
          <w:color w:val="C00000"/>
          <w:sz w:val="28"/>
          <w:szCs w:val="28"/>
          <w:u w:val="single"/>
        </w:rPr>
      </w:pPr>
      <w:r w:rsidRPr="00F63CDC">
        <w:rPr>
          <w:rFonts w:ascii="Arial" w:hAnsi="Arial" w:cs="Arial"/>
          <w:color w:val="C00000"/>
          <w:sz w:val="28"/>
          <w:szCs w:val="28"/>
          <w:u w:val="single"/>
        </w:rPr>
        <w:t>7.3.2.X.X Handover</w:t>
      </w:r>
      <w:r w:rsidR="00345955" w:rsidRPr="00F63CDC">
        <w:rPr>
          <w:rFonts w:ascii="Arial" w:hAnsi="Arial" w:cs="Arial"/>
          <w:color w:val="C00000"/>
          <w:sz w:val="28"/>
          <w:szCs w:val="28"/>
          <w:u w:val="single"/>
        </w:rPr>
        <w:t xml:space="preserve"> for </w:t>
      </w:r>
      <w:proofErr w:type="gramStart"/>
      <w:r w:rsidR="00345955" w:rsidRPr="00F63CDC">
        <w:rPr>
          <w:rFonts w:ascii="Arial" w:hAnsi="Arial" w:cs="Arial"/>
          <w:color w:val="C00000"/>
          <w:sz w:val="28"/>
          <w:szCs w:val="28"/>
          <w:u w:val="single"/>
        </w:rPr>
        <w:t>a large number of</w:t>
      </w:r>
      <w:proofErr w:type="gramEnd"/>
      <w:r w:rsidR="00345955" w:rsidRPr="00F63CDC">
        <w:rPr>
          <w:rFonts w:ascii="Arial" w:hAnsi="Arial" w:cs="Arial"/>
          <w:color w:val="C00000"/>
          <w:sz w:val="28"/>
          <w:szCs w:val="28"/>
          <w:u w:val="single"/>
        </w:rPr>
        <w:t xml:space="preserve"> UEs</w:t>
      </w:r>
    </w:p>
    <w:p w14:paraId="6151FD11" w14:textId="77777777" w:rsidR="004A77A9" w:rsidRPr="004A77A9" w:rsidRDefault="004A77A9" w:rsidP="004A77A9">
      <w:pPr>
        <w:jc w:val="both"/>
        <w:rPr>
          <w:rFonts w:ascii="Arial" w:hAnsi="Arial" w:cs="Arial"/>
          <w:color w:val="C00000"/>
          <w:sz w:val="20"/>
          <w:u w:val="single"/>
          <w:lang w:val="en-GB"/>
        </w:rPr>
      </w:pPr>
      <w:r w:rsidRPr="004A77A9">
        <w:rPr>
          <w:rFonts w:ascii="Arial" w:hAnsi="Arial" w:cs="Arial"/>
          <w:color w:val="C00000"/>
          <w:sz w:val="20"/>
          <w:u w:val="single"/>
          <w:lang w:val="en-GB"/>
        </w:rPr>
        <w:t>Considering the large cell size of non-terrestrial networks regardless of deployment, a potentially very large number of devices may be served within a single beam. Due to movement of non-GEO satellites, two scenarios can occur which may cause a large number of UEs to hand over to a new cell:</w:t>
      </w:r>
    </w:p>
    <w:p w14:paraId="21664D4B" w14:textId="77777777" w:rsidR="004A77A9" w:rsidRPr="004A77A9" w:rsidRDefault="004A77A9" w:rsidP="004A77A9">
      <w:pPr>
        <w:pStyle w:val="ListParagraph"/>
        <w:numPr>
          <w:ilvl w:val="0"/>
          <w:numId w:val="16"/>
        </w:numPr>
        <w:jc w:val="both"/>
        <w:rPr>
          <w:rFonts w:ascii="Arial" w:hAnsi="Arial" w:cs="Arial"/>
          <w:color w:val="C00000"/>
          <w:sz w:val="20"/>
          <w:u w:val="single"/>
          <w:lang w:val="en-GB"/>
        </w:rPr>
      </w:pPr>
      <w:r w:rsidRPr="004A77A9">
        <w:rPr>
          <w:rFonts w:ascii="Arial" w:hAnsi="Arial" w:cs="Arial"/>
          <w:b/>
          <w:color w:val="C00000"/>
          <w:sz w:val="20"/>
          <w:u w:val="single"/>
          <w:lang w:val="en-GB"/>
        </w:rPr>
        <w:t>Feeder-Link switch for transparent non-GEO satellites (scenarios C1 and C2):</w:t>
      </w:r>
      <w:r w:rsidRPr="004A77A9">
        <w:rPr>
          <w:rFonts w:ascii="Arial" w:hAnsi="Arial" w:cs="Arial"/>
          <w:color w:val="C00000"/>
          <w:sz w:val="20"/>
          <w:u w:val="single"/>
          <w:lang w:val="en-GB"/>
        </w:rPr>
        <w:t xml:space="preserve"> As listed in the TR, during a feeder link switch the PCI/SSB of an entire satellite must change when transitioning from one ground-based gNB to another. This will require all UEs currently served by a satellite to handover to the new gNB.</w:t>
      </w:r>
    </w:p>
    <w:p w14:paraId="6CB00119" w14:textId="77777777" w:rsidR="004A77A9" w:rsidRPr="004A77A9" w:rsidRDefault="004A77A9" w:rsidP="004A77A9">
      <w:pPr>
        <w:pStyle w:val="ListParagraph"/>
        <w:numPr>
          <w:ilvl w:val="0"/>
          <w:numId w:val="16"/>
        </w:numPr>
        <w:jc w:val="both"/>
        <w:rPr>
          <w:rFonts w:ascii="Arial" w:hAnsi="Arial" w:cs="Arial"/>
          <w:color w:val="C00000"/>
          <w:sz w:val="20"/>
          <w:u w:val="single"/>
          <w:lang w:val="en-GB"/>
        </w:rPr>
      </w:pPr>
      <w:r w:rsidRPr="004A77A9">
        <w:rPr>
          <w:rFonts w:ascii="Arial" w:hAnsi="Arial" w:cs="Arial"/>
          <w:b/>
          <w:color w:val="C00000"/>
          <w:sz w:val="20"/>
          <w:u w:val="single"/>
          <w:lang w:val="en-GB"/>
        </w:rPr>
        <w:t>Satellite change for a group of UEs in a beam steered non-GEO deployment, (scenarios C1 and D1) where the PCI/SSB is specific to a satellite:</w:t>
      </w:r>
      <w:r w:rsidRPr="004A77A9">
        <w:rPr>
          <w:rFonts w:ascii="Arial" w:hAnsi="Arial" w:cs="Arial"/>
          <w:color w:val="C00000"/>
          <w:sz w:val="20"/>
          <w:u w:val="single"/>
          <w:lang w:val="en-GB"/>
        </w:rPr>
        <w:t xml:space="preserve"> Due to movement of satellites in non-GEO deployments, once a satellite is no longer the best candidate to serve a given geographic location, an incoming satellite will take over and provide service to that area. Should the satellites be beam-steered, this change may be abrupt, and the group of UEs within that geographic area (e.g. the footprint of a beam) will need to hand-over to the incoming satellite.</w:t>
      </w:r>
    </w:p>
    <w:p w14:paraId="7D7A4115" w14:textId="77777777" w:rsidR="009E7405" w:rsidRPr="009E7405" w:rsidRDefault="009E7405" w:rsidP="009E7405">
      <w:pPr>
        <w:jc w:val="both"/>
        <w:rPr>
          <w:rFonts w:ascii="Arial" w:hAnsi="Arial" w:cs="Arial"/>
          <w:color w:val="C00000"/>
          <w:sz w:val="20"/>
          <w:u w:val="single"/>
        </w:rPr>
      </w:pPr>
      <w:r w:rsidRPr="009E7405">
        <w:rPr>
          <w:rFonts w:ascii="Arial" w:hAnsi="Arial" w:cs="Arial"/>
          <w:color w:val="C00000"/>
          <w:sz w:val="20"/>
          <w:u w:val="single"/>
          <w:lang w:val="en-GB"/>
        </w:rPr>
        <w:t xml:space="preserve">A potential solution for the feeder-link switch has been incorporated in the TR where the satellite would broadcast the PCI/SSBs of multiple </w:t>
      </w:r>
      <w:proofErr w:type="spellStart"/>
      <w:r w:rsidRPr="009E7405">
        <w:rPr>
          <w:rFonts w:ascii="Arial" w:hAnsi="Arial" w:cs="Arial"/>
          <w:color w:val="C00000"/>
          <w:sz w:val="20"/>
          <w:u w:val="single"/>
          <w:lang w:val="en-GB"/>
        </w:rPr>
        <w:t>gNBs</w:t>
      </w:r>
      <w:proofErr w:type="spellEnd"/>
      <w:r w:rsidRPr="009E7405">
        <w:rPr>
          <w:rFonts w:ascii="Arial" w:hAnsi="Arial" w:cs="Arial"/>
          <w:color w:val="C00000"/>
          <w:sz w:val="20"/>
          <w:u w:val="single"/>
          <w:lang w:val="en-GB"/>
        </w:rPr>
        <w:t xml:space="preserve"> prior to the feeder-link switch, possibly allowing UEs sufficient time to hand over to the new gNB relying on current Rel-15 mechanisms. This solution however will not apply to scenario 2, as the physical channel will be different. For non-GEO deployments with regenerative and moving beams (scenario D2), there will be a region of overlap where the different PCI/SSBs will be visible to UEs for a certain time, however depending on constellation assumptions (i.e. speed of movement and size of overlap) as well as issues noted in section 2.1.3 there may be challenges as well. This scenario should, however, be down-prioritized. </w:t>
      </w:r>
    </w:p>
    <w:p w14:paraId="16CEC1E7" w14:textId="0E9D796D" w:rsidR="00216217" w:rsidRDefault="00216217" w:rsidP="00216217">
      <w:pPr>
        <w:ind w:left="1440" w:hanging="1440"/>
        <w:jc w:val="both"/>
        <w:rPr>
          <w:rFonts w:ascii="Arial" w:hAnsi="Arial" w:cs="Arial"/>
          <w:sz w:val="20"/>
        </w:rPr>
      </w:pPr>
      <w:r>
        <w:rPr>
          <w:rFonts w:ascii="Arial" w:hAnsi="Arial" w:cs="Arial"/>
          <w:color w:val="C00000"/>
          <w:sz w:val="20"/>
          <w:u w:val="single"/>
        </w:rPr>
        <w:t xml:space="preserve">Editor’s note (to be removed): </w:t>
      </w:r>
      <w:r>
        <w:rPr>
          <w:rFonts w:ascii="Arial" w:hAnsi="Arial" w:cs="Arial"/>
          <w:color w:val="C00000"/>
          <w:sz w:val="20"/>
          <w:u w:val="single"/>
        </w:rPr>
        <w:tab/>
        <w:t>The above text refers to Observation 8.</w:t>
      </w:r>
    </w:p>
    <w:p w14:paraId="63F71AB9" w14:textId="77777777" w:rsidR="005A2A1E" w:rsidRPr="00633BA7" w:rsidRDefault="005A2A1E" w:rsidP="005A2A1E">
      <w:pPr>
        <w:ind w:left="1440" w:hanging="1440"/>
        <w:jc w:val="both"/>
        <w:rPr>
          <w:rFonts w:ascii="Arial" w:hAnsi="Arial" w:cs="Arial"/>
          <w:color w:val="C00000"/>
          <w:sz w:val="20"/>
          <w:u w:val="single"/>
        </w:rPr>
      </w:pPr>
      <w:r>
        <w:rPr>
          <w:rFonts w:ascii="Arial" w:hAnsi="Arial" w:cs="Arial"/>
          <w:color w:val="C00000"/>
          <w:sz w:val="20"/>
          <w:u w:val="single"/>
        </w:rPr>
        <w:t xml:space="preserve">Editor’s note: </w:t>
      </w:r>
      <w:r>
        <w:rPr>
          <w:rFonts w:ascii="Arial" w:hAnsi="Arial" w:cs="Arial"/>
          <w:color w:val="C00000"/>
          <w:sz w:val="20"/>
          <w:u w:val="single"/>
        </w:rPr>
        <w:tab/>
        <w:t xml:space="preserve">    </w:t>
      </w:r>
      <w:r w:rsidRPr="0088198A">
        <w:rPr>
          <w:rFonts w:ascii="Arial" w:hAnsi="Arial" w:cs="Arial"/>
          <w:color w:val="C00000"/>
          <w:sz w:val="20"/>
          <w:u w:val="single"/>
        </w:rPr>
        <w:t>FFS</w:t>
      </w:r>
      <w:r>
        <w:rPr>
          <w:rFonts w:ascii="Arial" w:hAnsi="Arial" w:cs="Arial"/>
          <w:color w:val="C00000"/>
          <w:sz w:val="20"/>
          <w:u w:val="single"/>
        </w:rPr>
        <w:t xml:space="preserve"> potential mobility enhancements.</w:t>
      </w:r>
    </w:p>
    <w:p w14:paraId="07DA2415" w14:textId="4D1E672C" w:rsidR="00345955" w:rsidRPr="00633BA7" w:rsidRDefault="00D0399E" w:rsidP="00345955">
      <w:pPr>
        <w:jc w:val="both"/>
        <w:rPr>
          <w:rFonts w:ascii="Arial" w:hAnsi="Arial" w:cs="Arial"/>
          <w:color w:val="C00000"/>
          <w:sz w:val="28"/>
          <w:szCs w:val="28"/>
          <w:u w:val="single"/>
        </w:rPr>
      </w:pPr>
      <w:r w:rsidRPr="00633BA7">
        <w:rPr>
          <w:rFonts w:ascii="Arial" w:hAnsi="Arial" w:cs="Arial"/>
          <w:color w:val="C00000"/>
          <w:sz w:val="28"/>
          <w:szCs w:val="28"/>
          <w:u w:val="single"/>
        </w:rPr>
        <w:t xml:space="preserve">7.3.2.X.X </w:t>
      </w:r>
      <w:r>
        <w:rPr>
          <w:rFonts w:ascii="Arial" w:hAnsi="Arial" w:cs="Arial"/>
          <w:color w:val="C00000"/>
          <w:sz w:val="28"/>
          <w:szCs w:val="28"/>
          <w:u w:val="single"/>
        </w:rPr>
        <w:t>Summary</w:t>
      </w:r>
      <w:r w:rsidR="00345955">
        <w:rPr>
          <w:rFonts w:ascii="Arial" w:hAnsi="Arial" w:cs="Arial"/>
          <w:color w:val="C00000"/>
          <w:sz w:val="28"/>
          <w:szCs w:val="28"/>
          <w:u w:val="single"/>
        </w:rPr>
        <w:t xml:space="preserve"> </w:t>
      </w:r>
      <w:r w:rsidR="004B36A9">
        <w:rPr>
          <w:rFonts w:ascii="Arial" w:hAnsi="Arial" w:cs="Arial"/>
          <w:color w:val="C00000"/>
          <w:sz w:val="28"/>
          <w:szCs w:val="28"/>
          <w:u w:val="single"/>
        </w:rPr>
        <w:t>o</w:t>
      </w:r>
      <w:r w:rsidR="00345955">
        <w:rPr>
          <w:rFonts w:ascii="Arial" w:hAnsi="Arial" w:cs="Arial"/>
          <w:color w:val="C00000"/>
          <w:sz w:val="28"/>
          <w:szCs w:val="28"/>
          <w:u w:val="single"/>
        </w:rPr>
        <w:t>f challenges based on deployment scenario</w:t>
      </w:r>
    </w:p>
    <w:p w14:paraId="73A6F147" w14:textId="77777777" w:rsidR="004B36A9" w:rsidRPr="004B36A9" w:rsidRDefault="004B36A9" w:rsidP="004B36A9">
      <w:pPr>
        <w:jc w:val="both"/>
        <w:rPr>
          <w:rFonts w:ascii="Arial" w:hAnsi="Arial" w:cs="Arial"/>
          <w:color w:val="C00000"/>
          <w:sz w:val="20"/>
          <w:szCs w:val="20"/>
          <w:u w:val="single"/>
        </w:rPr>
      </w:pPr>
      <w:r w:rsidRPr="004B36A9">
        <w:rPr>
          <w:rFonts w:ascii="Arial" w:hAnsi="Arial" w:cs="Arial"/>
          <w:color w:val="C00000"/>
          <w:sz w:val="20"/>
          <w:szCs w:val="20"/>
          <w:u w:val="single"/>
        </w:rPr>
        <w:t>TR 38.821 lists several possible deployment scenarios for non-terrestrial networks. Depending on the deployment scenario, certain challenges listed in section 2.1 may not apply, or may apply to a different degree (e.g. latency to mobility signaling would be a greater challenge in scenario A than scenario D2). Table 1 provides a brief summary of such challenges specific to each deployment scenario.</w:t>
      </w:r>
    </w:p>
    <w:p w14:paraId="1266E79B" w14:textId="77777777" w:rsidR="004A77A9" w:rsidRPr="004A77A9" w:rsidRDefault="004A77A9" w:rsidP="004A77A9">
      <w:pPr>
        <w:jc w:val="center"/>
        <w:rPr>
          <w:rFonts w:ascii="Arial" w:hAnsi="Arial" w:cs="Arial"/>
          <w:b/>
          <w:color w:val="C00000"/>
          <w:sz w:val="20"/>
          <w:szCs w:val="20"/>
        </w:rPr>
      </w:pPr>
      <w:r w:rsidRPr="004A77A9">
        <w:rPr>
          <w:rFonts w:ascii="Arial" w:hAnsi="Arial" w:cs="Arial"/>
          <w:b/>
          <w:color w:val="C00000"/>
          <w:sz w:val="20"/>
          <w:szCs w:val="20"/>
        </w:rPr>
        <w:t>Table 1: Summary of challenges specific to each deployment scenario.</w:t>
      </w:r>
    </w:p>
    <w:tbl>
      <w:tblPr>
        <w:tblStyle w:val="TableGrid"/>
        <w:tblW w:w="0" w:type="auto"/>
        <w:tblLook w:val="04A0" w:firstRow="1" w:lastRow="0" w:firstColumn="1" w:lastColumn="0" w:noHBand="0" w:noVBand="1"/>
      </w:tblPr>
      <w:tblGrid>
        <w:gridCol w:w="1438"/>
        <w:gridCol w:w="1228"/>
        <w:gridCol w:w="1328"/>
        <w:gridCol w:w="1339"/>
        <w:gridCol w:w="1339"/>
        <w:gridCol w:w="1339"/>
        <w:gridCol w:w="1339"/>
      </w:tblGrid>
      <w:tr w:rsidR="004A77A9" w:rsidRPr="004A77A9" w14:paraId="336BC748" w14:textId="77777777" w:rsidTr="00AB0C8F">
        <w:tc>
          <w:tcPr>
            <w:tcW w:w="1438" w:type="dxa"/>
          </w:tcPr>
          <w:p w14:paraId="10CFD09F"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Mobility Challenge</w:t>
            </w:r>
          </w:p>
        </w:tc>
        <w:tc>
          <w:tcPr>
            <w:tcW w:w="1228" w:type="dxa"/>
          </w:tcPr>
          <w:p w14:paraId="0F8316CB"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A) GEO transparent</w:t>
            </w:r>
          </w:p>
        </w:tc>
        <w:tc>
          <w:tcPr>
            <w:tcW w:w="1328" w:type="dxa"/>
          </w:tcPr>
          <w:p w14:paraId="330E119C"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B) GEO regenerative</w:t>
            </w:r>
          </w:p>
        </w:tc>
        <w:tc>
          <w:tcPr>
            <w:tcW w:w="1339" w:type="dxa"/>
          </w:tcPr>
          <w:p w14:paraId="3DC6596D"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C1) LEO steerable transparent</w:t>
            </w:r>
          </w:p>
        </w:tc>
        <w:tc>
          <w:tcPr>
            <w:tcW w:w="1339" w:type="dxa"/>
          </w:tcPr>
          <w:p w14:paraId="7D617692"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C2) LEO</w:t>
            </w:r>
          </w:p>
          <w:p w14:paraId="1F0EC649"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moving</w:t>
            </w:r>
          </w:p>
          <w:p w14:paraId="14D9B31E"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transparent</w:t>
            </w:r>
          </w:p>
        </w:tc>
        <w:tc>
          <w:tcPr>
            <w:tcW w:w="1339" w:type="dxa"/>
          </w:tcPr>
          <w:p w14:paraId="7EB93C25"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D1) LEO steerable regenerative</w:t>
            </w:r>
          </w:p>
        </w:tc>
        <w:tc>
          <w:tcPr>
            <w:tcW w:w="1339" w:type="dxa"/>
          </w:tcPr>
          <w:p w14:paraId="234544C4" w14:textId="77777777" w:rsidR="004A77A9" w:rsidRPr="004A77A9" w:rsidRDefault="004A77A9" w:rsidP="00AB0C8F">
            <w:pPr>
              <w:jc w:val="center"/>
              <w:rPr>
                <w:rFonts w:ascii="Arial" w:hAnsi="Arial" w:cs="Arial"/>
                <w:color w:val="C00000"/>
                <w:sz w:val="20"/>
                <w:szCs w:val="20"/>
              </w:rPr>
            </w:pPr>
            <w:r w:rsidRPr="004A77A9">
              <w:rPr>
                <w:rFonts w:ascii="Arial" w:hAnsi="Arial" w:cs="Arial"/>
                <w:color w:val="C00000"/>
                <w:sz w:val="20"/>
                <w:szCs w:val="20"/>
              </w:rPr>
              <w:t>D2) LEO moving regenerative</w:t>
            </w:r>
          </w:p>
        </w:tc>
      </w:tr>
      <w:tr w:rsidR="004A77A9" w:rsidRPr="004A77A9" w14:paraId="09F28ACB" w14:textId="77777777" w:rsidTr="00AB0C8F">
        <w:tc>
          <w:tcPr>
            <w:tcW w:w="1438" w:type="dxa"/>
          </w:tcPr>
          <w:p w14:paraId="48C8D1D9"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Latency to Mobility Signalling</w:t>
            </w:r>
          </w:p>
        </w:tc>
        <w:tc>
          <w:tcPr>
            <w:tcW w:w="1228" w:type="dxa"/>
          </w:tcPr>
          <w:p w14:paraId="5B2750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0E4C8EA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(high priority)</w:t>
            </w:r>
          </w:p>
        </w:tc>
        <w:tc>
          <w:tcPr>
            <w:tcW w:w="1328" w:type="dxa"/>
          </w:tcPr>
          <w:p w14:paraId="2A083FB5"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1980C35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(high priority)</w:t>
            </w:r>
          </w:p>
        </w:tc>
        <w:tc>
          <w:tcPr>
            <w:tcW w:w="1339" w:type="dxa"/>
          </w:tcPr>
          <w:p w14:paraId="7BD2D07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 (medium priority)</w:t>
            </w:r>
          </w:p>
        </w:tc>
        <w:tc>
          <w:tcPr>
            <w:tcW w:w="1339" w:type="dxa"/>
          </w:tcPr>
          <w:p w14:paraId="6194931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 (medium priority)</w:t>
            </w:r>
          </w:p>
        </w:tc>
        <w:tc>
          <w:tcPr>
            <w:tcW w:w="1339" w:type="dxa"/>
          </w:tcPr>
          <w:p w14:paraId="1BDAB63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308E0B71"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c>
          <w:tcPr>
            <w:tcW w:w="1339" w:type="dxa"/>
          </w:tcPr>
          <w:p w14:paraId="5459BA4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 xml:space="preserve">Yes </w:t>
            </w:r>
          </w:p>
          <w:p w14:paraId="114B1F0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r>
      <w:tr w:rsidR="004A77A9" w:rsidRPr="004A77A9" w14:paraId="7B126C3B" w14:textId="77777777" w:rsidTr="00AB0C8F">
        <w:tc>
          <w:tcPr>
            <w:tcW w:w="1438" w:type="dxa"/>
          </w:tcPr>
          <w:p w14:paraId="38C33E27"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Measurement Validity</w:t>
            </w:r>
          </w:p>
        </w:tc>
        <w:tc>
          <w:tcPr>
            <w:tcW w:w="1228" w:type="dxa"/>
          </w:tcPr>
          <w:p w14:paraId="35341EAF"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28" w:type="dxa"/>
          </w:tcPr>
          <w:p w14:paraId="2B89E21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63B43166"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2D7FF1B"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03627B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742CF07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42D5658A" w14:textId="77777777" w:rsidTr="00AB0C8F">
        <w:tc>
          <w:tcPr>
            <w:tcW w:w="1438" w:type="dxa"/>
          </w:tcPr>
          <w:p w14:paraId="0CCF13A4"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Cell overlap and the near-far effect</w:t>
            </w:r>
          </w:p>
        </w:tc>
        <w:tc>
          <w:tcPr>
            <w:tcW w:w="1228" w:type="dxa"/>
          </w:tcPr>
          <w:p w14:paraId="7F3125F5"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28" w:type="dxa"/>
          </w:tcPr>
          <w:p w14:paraId="1B8A2EBA"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F2F5FD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777BFBB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6A74820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12AE468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06910E29" w14:textId="77777777" w:rsidTr="00AB0C8F">
        <w:tc>
          <w:tcPr>
            <w:tcW w:w="1438" w:type="dxa"/>
          </w:tcPr>
          <w:p w14:paraId="0FA54291"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Frequency of Handover</w:t>
            </w:r>
          </w:p>
        </w:tc>
        <w:tc>
          <w:tcPr>
            <w:tcW w:w="1228" w:type="dxa"/>
          </w:tcPr>
          <w:p w14:paraId="51F76993"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1B9A0F63"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004CFA6C"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242FB03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5488038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c>
          <w:tcPr>
            <w:tcW w:w="1339" w:type="dxa"/>
          </w:tcPr>
          <w:p w14:paraId="00FD0AB9"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Yes</w:t>
            </w:r>
          </w:p>
        </w:tc>
      </w:tr>
      <w:tr w:rsidR="004A77A9" w:rsidRPr="004A77A9" w14:paraId="6A9F590E" w14:textId="77777777" w:rsidTr="00AB0C8F">
        <w:tc>
          <w:tcPr>
            <w:tcW w:w="1438" w:type="dxa"/>
          </w:tcPr>
          <w:p w14:paraId="05D90228"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lastRenderedPageBreak/>
              <w:t>Dynamic neighbor cell set</w:t>
            </w:r>
          </w:p>
        </w:tc>
        <w:tc>
          <w:tcPr>
            <w:tcW w:w="1228" w:type="dxa"/>
          </w:tcPr>
          <w:p w14:paraId="71346D89"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035B19C2"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58F7E89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39A2BCC7"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3330E28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7570274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r>
      <w:tr w:rsidR="004A77A9" w:rsidRPr="004A77A9" w14:paraId="38AC9766" w14:textId="77777777" w:rsidTr="00AB0C8F">
        <w:tc>
          <w:tcPr>
            <w:tcW w:w="1438" w:type="dxa"/>
          </w:tcPr>
          <w:p w14:paraId="7E2869F0" w14:textId="77777777" w:rsidR="004A77A9" w:rsidRPr="004A77A9" w:rsidRDefault="004A77A9" w:rsidP="00AB0C8F">
            <w:pPr>
              <w:rPr>
                <w:rFonts w:ascii="Arial" w:hAnsi="Arial" w:cs="Arial"/>
                <w:color w:val="C00000"/>
                <w:sz w:val="20"/>
                <w:szCs w:val="20"/>
              </w:rPr>
            </w:pPr>
            <w:r w:rsidRPr="004A77A9">
              <w:rPr>
                <w:rFonts w:ascii="Arial" w:hAnsi="Arial" w:cs="Arial"/>
                <w:color w:val="C00000"/>
                <w:sz w:val="20"/>
                <w:szCs w:val="20"/>
              </w:rPr>
              <w:t>Handover for large number of UEs</w:t>
            </w:r>
          </w:p>
        </w:tc>
        <w:tc>
          <w:tcPr>
            <w:tcW w:w="1228" w:type="dxa"/>
          </w:tcPr>
          <w:p w14:paraId="6F75260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28" w:type="dxa"/>
          </w:tcPr>
          <w:p w14:paraId="7C41C950"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No</w:t>
            </w:r>
          </w:p>
        </w:tc>
        <w:tc>
          <w:tcPr>
            <w:tcW w:w="1339" w:type="dxa"/>
          </w:tcPr>
          <w:p w14:paraId="02D5075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418833A8"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213288B4"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tc>
        <w:tc>
          <w:tcPr>
            <w:tcW w:w="1339" w:type="dxa"/>
          </w:tcPr>
          <w:p w14:paraId="2AB3359D"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Depends on deployment assumptions</w:t>
            </w:r>
          </w:p>
          <w:p w14:paraId="381C81CE" w14:textId="77777777" w:rsidR="004A77A9" w:rsidRPr="004A77A9" w:rsidRDefault="004A77A9" w:rsidP="00AB0C8F">
            <w:pPr>
              <w:jc w:val="both"/>
              <w:rPr>
                <w:rFonts w:ascii="Arial" w:hAnsi="Arial" w:cs="Arial"/>
                <w:color w:val="C00000"/>
                <w:sz w:val="20"/>
                <w:szCs w:val="20"/>
              </w:rPr>
            </w:pPr>
            <w:r w:rsidRPr="004A77A9">
              <w:rPr>
                <w:rFonts w:ascii="Arial" w:hAnsi="Arial" w:cs="Arial"/>
                <w:color w:val="C00000"/>
                <w:sz w:val="20"/>
                <w:szCs w:val="20"/>
              </w:rPr>
              <w:t>(lower priority</w:t>
            </w:r>
          </w:p>
        </w:tc>
      </w:tr>
    </w:tbl>
    <w:p w14:paraId="005FB7C7" w14:textId="1FFBCE55" w:rsidR="00445468" w:rsidRPr="00445468" w:rsidRDefault="00445468" w:rsidP="00445468">
      <w:pPr>
        <w:jc w:val="both"/>
        <w:rPr>
          <w:rFonts w:ascii="Arial" w:hAnsi="Arial" w:cs="Arial"/>
          <w:color w:val="C00000"/>
          <w:sz w:val="20"/>
          <w:u w:val="single"/>
        </w:rPr>
      </w:pPr>
    </w:p>
    <w:p w14:paraId="6B07AD5A" w14:textId="77777777" w:rsidR="00445468" w:rsidRPr="00445468" w:rsidRDefault="00445468" w:rsidP="00445468">
      <w:pPr>
        <w:jc w:val="center"/>
        <w:rPr>
          <w:rFonts w:ascii="Arial" w:hAnsi="Arial" w:cs="Arial"/>
          <w:sz w:val="20"/>
        </w:rPr>
      </w:pPr>
      <w:r w:rsidRPr="00445468">
        <w:rPr>
          <w:rFonts w:ascii="Arial" w:hAnsi="Arial" w:cs="Arial"/>
          <w:sz w:val="20"/>
          <w:highlight w:val="yellow"/>
        </w:rPr>
        <w:t>&lt;End of Text Proposal&gt;</w:t>
      </w:r>
    </w:p>
    <w:p w14:paraId="1E9F9345" w14:textId="6AE16E65" w:rsidR="00E047AE" w:rsidRDefault="00E047AE" w:rsidP="00E047AE">
      <w:pPr>
        <w:pStyle w:val="Reference"/>
        <w:numPr>
          <w:ilvl w:val="0"/>
          <w:numId w:val="0"/>
        </w:numPr>
        <w:spacing w:after="60"/>
        <w:rPr>
          <w:rFonts w:cs="Arial"/>
          <w:szCs w:val="18"/>
          <w:lang w:val="en-US"/>
        </w:rPr>
      </w:pPr>
    </w:p>
    <w:p w14:paraId="6554F899" w14:textId="544A0F90" w:rsidR="00E047AE" w:rsidRPr="001D6B58" w:rsidRDefault="00E047AE" w:rsidP="00E047AE">
      <w:pPr>
        <w:pStyle w:val="Heading1"/>
      </w:pPr>
      <w:r>
        <w:t>Appendix</w:t>
      </w:r>
      <w:r w:rsidR="00E14AF1">
        <w:t xml:space="preserve">: Summary of NTN Mobility agreements </w:t>
      </w:r>
    </w:p>
    <w:p w14:paraId="6D6C02D5" w14:textId="77777777" w:rsidR="00E14AF1" w:rsidRDefault="00E14AF1" w:rsidP="00E14AF1">
      <w:pPr>
        <w:pStyle w:val="Doc-text2"/>
        <w:numPr>
          <w:ilvl w:val="0"/>
          <w:numId w:val="5"/>
        </w:numPr>
      </w:pPr>
      <w:r>
        <w:t>RAN2#103bis [2]</w:t>
      </w:r>
    </w:p>
    <w:p w14:paraId="63B58A4E" w14:textId="77777777" w:rsidR="00E14AF1" w:rsidRDefault="00E14AF1" w:rsidP="00E14AF1">
      <w:pPr>
        <w:pStyle w:val="Doc-text2"/>
        <w:numPr>
          <w:ilvl w:val="1"/>
          <w:numId w:val="5"/>
        </w:numPr>
      </w:pPr>
      <w:r>
        <w:t>Impacts to study for CP: Mobility</w:t>
      </w:r>
    </w:p>
    <w:p w14:paraId="4687C5F3" w14:textId="77777777" w:rsidR="00E14AF1" w:rsidRDefault="00E14AF1" w:rsidP="00E14AF1">
      <w:pPr>
        <w:pStyle w:val="Doc-text2"/>
        <w:numPr>
          <w:ilvl w:val="0"/>
          <w:numId w:val="5"/>
        </w:numPr>
      </w:pPr>
      <w:r>
        <w:t>RAN2#104 [3]</w:t>
      </w:r>
    </w:p>
    <w:p w14:paraId="61C1DF88" w14:textId="77777777" w:rsidR="00E14AF1" w:rsidRDefault="00E14AF1" w:rsidP="00E14AF1">
      <w:pPr>
        <w:pStyle w:val="Doc-text2"/>
        <w:numPr>
          <w:ilvl w:val="1"/>
          <w:numId w:val="5"/>
        </w:numPr>
      </w:pPr>
      <w:r w:rsidRPr="00286C17">
        <w:t xml:space="preserve">Satellite beams, satellites or satellite cells are not considered to be visible from UE perspective in NTN SI.  This does not preclude differentiating at the PLMN level the type of network (e.g. NTN vs. terrestrial).  This is up to SA2.  </w:t>
      </w:r>
    </w:p>
    <w:p w14:paraId="65A93F98" w14:textId="77777777" w:rsidR="00E14AF1" w:rsidRDefault="00E14AF1" w:rsidP="00E14AF1">
      <w:pPr>
        <w:pStyle w:val="Doc-text2"/>
        <w:numPr>
          <w:ilvl w:val="1"/>
          <w:numId w:val="5"/>
        </w:numPr>
      </w:pPr>
      <w:r>
        <w:t>Revision of definition of satellite cell in TR 38.821, refer to satellite beam.</w:t>
      </w:r>
    </w:p>
    <w:p w14:paraId="28F9863C" w14:textId="77777777" w:rsidR="00E14AF1" w:rsidRDefault="00E14AF1" w:rsidP="00E14AF1">
      <w:pPr>
        <w:pStyle w:val="Doc-text2"/>
        <w:numPr>
          <w:ilvl w:val="1"/>
          <w:numId w:val="5"/>
        </w:numPr>
      </w:pPr>
      <w:r>
        <w:t>Association between NR PCI and NR SSBs is left to implementation.</w:t>
      </w:r>
    </w:p>
    <w:p w14:paraId="079F6160" w14:textId="77777777" w:rsidR="00E14AF1" w:rsidRDefault="00E14AF1" w:rsidP="00E14AF1">
      <w:pPr>
        <w:pStyle w:val="Doc-text2"/>
        <w:numPr>
          <w:ilvl w:val="1"/>
          <w:numId w:val="5"/>
        </w:numPr>
      </w:pPr>
      <w:r>
        <w:t>Rel-15 definitions are used as baseline in NTN.</w:t>
      </w:r>
    </w:p>
    <w:p w14:paraId="08674E7C" w14:textId="77777777" w:rsidR="00E14AF1" w:rsidRDefault="00E14AF1" w:rsidP="00E14AF1">
      <w:pPr>
        <w:pStyle w:val="Doc-text2"/>
        <w:numPr>
          <w:ilvl w:val="1"/>
          <w:numId w:val="5"/>
        </w:numPr>
      </w:pPr>
      <w:r>
        <w:t>One or multiple SSBs per PCI are considered in NTN SI.</w:t>
      </w:r>
    </w:p>
    <w:p w14:paraId="7E3A9DC5" w14:textId="77777777" w:rsidR="00E14AF1" w:rsidRDefault="00E14AF1" w:rsidP="00E14AF1">
      <w:pPr>
        <w:pStyle w:val="Doc-text2"/>
        <w:numPr>
          <w:ilvl w:val="1"/>
          <w:numId w:val="5"/>
        </w:numPr>
      </w:pPr>
      <w:r>
        <w:t>Details of satellite ephemeris can be captured in TR.</w:t>
      </w:r>
    </w:p>
    <w:p w14:paraId="29C38DA5" w14:textId="77777777" w:rsidR="00E14AF1" w:rsidRDefault="00E14AF1" w:rsidP="00E14AF1">
      <w:pPr>
        <w:pStyle w:val="Doc-text2"/>
        <w:numPr>
          <w:ilvl w:val="0"/>
          <w:numId w:val="5"/>
        </w:numPr>
      </w:pPr>
      <w:r>
        <w:t>RAN2#105 [4]</w:t>
      </w:r>
    </w:p>
    <w:p w14:paraId="4E1DCF2D" w14:textId="77777777" w:rsidR="00E14AF1" w:rsidRDefault="00E14AF1" w:rsidP="00E14AF1">
      <w:pPr>
        <w:pStyle w:val="Doc-text2"/>
        <w:numPr>
          <w:ilvl w:val="1"/>
          <w:numId w:val="5"/>
        </w:numPr>
      </w:pPr>
      <w:r>
        <w:t>Observations from email discussion [104#54] [5] are to be captured in the TR.</w:t>
      </w:r>
    </w:p>
    <w:p w14:paraId="68A1E230" w14:textId="77777777" w:rsidR="00E14AF1" w:rsidRDefault="00E14AF1" w:rsidP="00E14AF1">
      <w:pPr>
        <w:pStyle w:val="Doc-text2"/>
        <w:numPr>
          <w:ilvl w:val="1"/>
          <w:numId w:val="5"/>
        </w:numPr>
      </w:pPr>
      <w:r>
        <w:t>UE location and satellite ephemeris information would be beneficial</w:t>
      </w:r>
    </w:p>
    <w:p w14:paraId="256F3A69" w14:textId="77777777" w:rsidR="00E14AF1" w:rsidRDefault="00E14AF1" w:rsidP="00E14AF1">
      <w:pPr>
        <w:pStyle w:val="Doc-text2"/>
        <w:numPr>
          <w:ilvl w:val="1"/>
          <w:numId w:val="5"/>
        </w:numPr>
      </w:pPr>
      <w:r>
        <w:t>TR will capture characteristics of the measurement variations in satellite systems</w:t>
      </w:r>
    </w:p>
    <w:p w14:paraId="372081FF" w14:textId="77777777" w:rsidR="00E14AF1" w:rsidRDefault="00E14AF1" w:rsidP="00E14AF1">
      <w:pPr>
        <w:pStyle w:val="Doc-text2"/>
        <w:numPr>
          <w:ilvl w:val="1"/>
          <w:numId w:val="5"/>
        </w:numPr>
      </w:pPr>
      <w:r>
        <w:t>NTN specific aspects related to CHO can be studied in RAN2#106 meeting</w:t>
      </w:r>
    </w:p>
    <w:p w14:paraId="7527E1C9" w14:textId="77777777" w:rsidR="00E14AF1" w:rsidRDefault="00E14AF1" w:rsidP="00E14AF1">
      <w:pPr>
        <w:pStyle w:val="Doc-text2"/>
        <w:numPr>
          <w:ilvl w:val="0"/>
          <w:numId w:val="5"/>
        </w:numPr>
      </w:pPr>
      <w:r>
        <w:t>RAN2#105bis [6]</w:t>
      </w:r>
    </w:p>
    <w:p w14:paraId="160DC72B" w14:textId="77777777" w:rsidR="00E14AF1" w:rsidRDefault="00E14AF1" w:rsidP="00E14AF1">
      <w:pPr>
        <w:pStyle w:val="Doc-text2"/>
        <w:numPr>
          <w:ilvl w:val="1"/>
          <w:numId w:val="5"/>
        </w:numPr>
      </w:pPr>
      <w:r>
        <w:t>NTN should support both UEs supporting GNSS based positioning methods and UE not supporting GNSS based positioning methods</w:t>
      </w:r>
    </w:p>
    <w:p w14:paraId="299E8CDF" w14:textId="77777777" w:rsidR="00E14AF1" w:rsidRDefault="00E14AF1" w:rsidP="00E14AF1">
      <w:pPr>
        <w:pStyle w:val="Doc-text2"/>
        <w:numPr>
          <w:ilvl w:val="1"/>
          <w:numId w:val="5"/>
        </w:numPr>
      </w:pPr>
      <w:r>
        <w:t>The use of satellite ephemeris, time and UE location can be used in RAN for mobility purposes in NTN</w:t>
      </w:r>
    </w:p>
    <w:p w14:paraId="3E51FB09" w14:textId="168E3490" w:rsidR="00AC0FB7" w:rsidRDefault="00AC0FB7">
      <w:pPr>
        <w:rPr>
          <w:rFonts w:ascii="Arial" w:hAnsi="Arial" w:cs="Arial"/>
          <w:lang w:val="en-GB"/>
        </w:rPr>
      </w:pPr>
    </w:p>
    <w:p w14:paraId="0EC5CCEF" w14:textId="2771A786" w:rsidR="00A93A68" w:rsidRDefault="00A93A68" w:rsidP="00A93A68">
      <w:pPr>
        <w:pStyle w:val="Heading2"/>
      </w:pPr>
      <w:r>
        <w:t>Analysis of Service Interruption Time [19]</w:t>
      </w:r>
    </w:p>
    <w:p w14:paraId="555399B5" w14:textId="77777777" w:rsidR="00A93A68" w:rsidRDefault="00A93A68" w:rsidP="00A93A68">
      <w:r>
        <w:t xml:space="preserve">Given that the propagation delay is very large for GEO scenario, the delay of the handover procedure should be investigated. </w:t>
      </w:r>
    </w:p>
    <w:p w14:paraId="033C8707" w14:textId="77777777" w:rsidR="00A93A68" w:rsidRDefault="00A93A68" w:rsidP="00A93A68">
      <w:r>
        <w:t xml:space="preserve">By looking at the Figure 1 we can estimate the service interruption time. The service interruption time is defined in TR 36.881 by the time between when the UE stops transmission/reception with the source </w:t>
      </w:r>
      <w:proofErr w:type="spellStart"/>
      <w:r>
        <w:t>gNB</w:t>
      </w:r>
      <w:proofErr w:type="spellEnd"/>
      <w:r>
        <w:t xml:space="preserve"> and the time when target </w:t>
      </w:r>
      <w:proofErr w:type="spellStart"/>
      <w:r>
        <w:t>gNB</w:t>
      </w:r>
      <w:proofErr w:type="spellEnd"/>
      <w:r>
        <w:t xml:space="preserve"> resumes transmission/reception. In NR this can be defined as the time from network sending </w:t>
      </w:r>
      <w:proofErr w:type="spellStart"/>
      <w:r>
        <w:t>RRCReconfiguration</w:t>
      </w:r>
      <w:proofErr w:type="spellEnd"/>
      <w:r>
        <w:t xml:space="preserve"> with sync (Step 1) until the target </w:t>
      </w:r>
      <w:proofErr w:type="spellStart"/>
      <w:r>
        <w:t>gNB</w:t>
      </w:r>
      <w:proofErr w:type="spellEnd"/>
      <w:r>
        <w:t xml:space="preserve"> receives the </w:t>
      </w:r>
      <w:proofErr w:type="spellStart"/>
      <w:r>
        <w:t>RRCReconfiguration</w:t>
      </w:r>
      <w:proofErr w:type="spellEnd"/>
      <w:r>
        <w:t xml:space="preserve"> Complete (Step 3). By not considering such times such as RRC processing and UE retuning its frequency </w:t>
      </w:r>
      <w:proofErr w:type="gramStart"/>
      <w:r>
        <w:t>circuits(</w:t>
      </w:r>
      <w:proofErr w:type="gramEnd"/>
      <w:r>
        <w:t>which is small in relation to the RTT), we can simplify the service interruption time to:</w:t>
      </w:r>
    </w:p>
    <w:p w14:paraId="4414DBF4" w14:textId="77777777" w:rsidR="00A93A68" w:rsidRDefault="00A93A68" w:rsidP="00A93A68">
      <w:pPr>
        <w:jc w:val="center"/>
      </w:pPr>
      <w:r>
        <w:t>1 RTT + Switch to new cell</w:t>
      </w:r>
    </w:p>
    <w:p w14:paraId="6F46F343" w14:textId="77777777" w:rsidR="00A93A68" w:rsidRDefault="00A93A68" w:rsidP="00A93A68">
      <w:r>
        <w:lastRenderedPageBreak/>
        <w:t xml:space="preserve">This time heavily depends on the time that it takes for the UE to connect to the new cell. Taking Rel-15 NR as baseline, the procedure that would be used is 4-step RACH which would take at least 2 RTTs. The total time for the handover would be 3 RTTs. </w:t>
      </w:r>
    </w:p>
    <w:p w14:paraId="0FEF3719" w14:textId="77777777" w:rsidR="00A93A68" w:rsidRDefault="00A93A68" w:rsidP="00A93A68">
      <w:r>
        <w:t xml:space="preserve">The interruption time is however different depending on uplink or the downlink. For the downlink the interruption time would be 3 RTTs, since the </w:t>
      </w:r>
      <w:proofErr w:type="spellStart"/>
      <w:r>
        <w:t>gNB</w:t>
      </w:r>
      <w:proofErr w:type="spellEnd"/>
      <w:r>
        <w:t xml:space="preserve"> cannot send more data after step 1, but in the uplink, the UE can potentially continue sending data to the source </w:t>
      </w:r>
      <w:proofErr w:type="spellStart"/>
      <w:r>
        <w:t>gNB</w:t>
      </w:r>
      <w:proofErr w:type="spellEnd"/>
      <w:r>
        <w:t xml:space="preserve"> until </w:t>
      </w:r>
      <w:proofErr w:type="spellStart"/>
      <w:r>
        <w:t>RRCReconfiguration</w:t>
      </w:r>
      <w:proofErr w:type="spellEnd"/>
      <w:r>
        <w:t xml:space="preserve"> with sync is received, which would mean that the interruption time is 2,5 RTT. In the mobility enhancement WI, several solutions are currently discussed to reduce the interruption due to switching to the new cell, but for Rel-15 the interruption is at least 2.5 RTTs.  </w:t>
      </w:r>
    </w:p>
    <w:p w14:paraId="6883439D" w14:textId="77777777" w:rsidR="00A93A68" w:rsidRDefault="00A93A68">
      <w:pPr>
        <w:rPr>
          <w:rFonts w:ascii="Arial" w:hAnsi="Arial" w:cs="Arial"/>
          <w:lang w:val="en-GB"/>
        </w:rPr>
      </w:pPr>
    </w:p>
    <w:p w14:paraId="6FC4127F" w14:textId="26D97E1C" w:rsidR="00A93A68" w:rsidRDefault="00A93A68" w:rsidP="00A93A68">
      <w:pPr>
        <w:pStyle w:val="Heading2"/>
      </w:pPr>
      <w:r>
        <w:t>Analysis of Control Plane signalling latency [20]</w:t>
      </w:r>
    </w:p>
    <w:p w14:paraId="5B137EDB" w14:textId="77777777" w:rsidR="00A93A68" w:rsidRPr="000365ED" w:rsidRDefault="00A93A68" w:rsidP="00A93A68">
      <w:pPr>
        <w:pStyle w:val="TH"/>
        <w:rPr>
          <w:rFonts w:eastAsia="Yu Mincho"/>
          <w:noProof/>
        </w:rPr>
      </w:pPr>
      <w:r w:rsidRPr="009367BD">
        <w:rPr>
          <w:rFonts w:eastAsia="Yu Mincho"/>
          <w:noProof/>
          <w:lang w:val="en-US"/>
        </w:rPr>
        <w:object w:dxaOrig="11700" w:dyaOrig="9900" w14:anchorId="4750BF98">
          <v:shape id="_x0000_i1027" type="#_x0000_t75" style="width:448.6pt;height:379.2pt" o:ole="">
            <v:imagedata r:id="rId14" o:title=""/>
          </v:shape>
          <o:OLEObject Type="Embed" ProgID="Mscgen.Chart" ShapeID="_x0000_i1027" DrawAspect="Content" ObjectID="_1619532176" r:id="rId15"/>
        </w:object>
      </w:r>
    </w:p>
    <w:p w14:paraId="15F67F7D" w14:textId="77777777" w:rsidR="00A93A68" w:rsidRPr="002B3392" w:rsidRDefault="00A93A68" w:rsidP="00A93A68">
      <w:pPr>
        <w:pStyle w:val="TF"/>
        <w:rPr>
          <w:rFonts w:ascii="Times New Roman" w:hAnsi="Times New Roman"/>
          <w:b w:val="0"/>
        </w:rPr>
      </w:pPr>
      <w:r w:rsidRPr="002B3392">
        <w:rPr>
          <w:rFonts w:ascii="Times New Roman" w:hAnsi="Times New Roman"/>
          <w:b w:val="0"/>
        </w:rPr>
        <w:t xml:space="preserve">Figure </w:t>
      </w:r>
      <w:r>
        <w:rPr>
          <w:rFonts w:ascii="Times New Roman" w:hAnsi="Times New Roman"/>
          <w:b w:val="0"/>
        </w:rPr>
        <w:t>x1</w:t>
      </w:r>
      <w:r w:rsidRPr="002B3392">
        <w:rPr>
          <w:rFonts w:ascii="Times New Roman" w:hAnsi="Times New Roman"/>
          <w:b w:val="0"/>
        </w:rPr>
        <w:t xml:space="preserve">: </w:t>
      </w:r>
      <w:r>
        <w:rPr>
          <w:rFonts w:ascii="Times New Roman" w:hAnsi="Times New Roman"/>
          <w:b w:val="0"/>
        </w:rPr>
        <w:t>RRC Connection setup procedure</w:t>
      </w:r>
    </w:p>
    <w:p w14:paraId="2C858F6A" w14:textId="77777777" w:rsidR="00A93A68" w:rsidRDefault="00A93A68" w:rsidP="00A93A68">
      <w:r>
        <w:t xml:space="preserve">According to the worst </w:t>
      </w:r>
      <w:proofErr w:type="gramStart"/>
      <w:r>
        <w:t>case(</w:t>
      </w:r>
      <w:proofErr w:type="gramEnd"/>
      <w:r w:rsidRPr="003C4F3D">
        <w:t>GEO transparent payload</w:t>
      </w:r>
      <w:r>
        <w:t xml:space="preserve">), even if we ignore the latency for RRC message processing and NGAP </w:t>
      </w:r>
      <w:proofErr w:type="spellStart"/>
      <w:r>
        <w:t>signalling</w:t>
      </w:r>
      <w:proofErr w:type="spellEnd"/>
      <w:r>
        <w:t xml:space="preserve"> transfer, the total latency could be up to 2970 </w:t>
      </w:r>
      <w:proofErr w:type="spellStart"/>
      <w:r>
        <w:t>ms</w:t>
      </w:r>
      <w:proofErr w:type="spellEnd"/>
      <w:r>
        <w:t xml:space="preserve"> (11*270ms). </w:t>
      </w:r>
    </w:p>
    <w:p w14:paraId="1ADBA768" w14:textId="77777777" w:rsidR="00A93A68" w:rsidRDefault="00A93A68" w:rsidP="00A93A68">
      <w:r>
        <w:lastRenderedPageBreak/>
        <w:t xml:space="preserve">If the UE is kept in the RRC_INACTIVE, the </w:t>
      </w:r>
      <w:proofErr w:type="spellStart"/>
      <w:r>
        <w:t>signalling</w:t>
      </w:r>
      <w:proofErr w:type="spellEnd"/>
      <w:r>
        <w:t xml:space="preserve"> procedure would be quite different as shown below:</w:t>
      </w:r>
    </w:p>
    <w:p w14:paraId="77B208B6" w14:textId="77777777" w:rsidR="00A93A68" w:rsidRPr="000365ED" w:rsidRDefault="00A93A68" w:rsidP="00A93A68">
      <w:pPr>
        <w:pStyle w:val="TH"/>
      </w:pPr>
      <w:r>
        <w:t xml:space="preserve"> </w:t>
      </w:r>
      <w:r w:rsidRPr="00E802ED">
        <w:t xml:space="preserve"> </w:t>
      </w:r>
      <w:r w:rsidRPr="000365ED">
        <w:rPr>
          <w:noProof/>
        </w:rPr>
        <w:object w:dxaOrig="11085" w:dyaOrig="9135" w14:anchorId="7FD2F525">
          <v:shape id="_x0000_i1028" type="#_x0000_t75" style="width:416.7pt;height:344.35pt" o:ole="">
            <v:imagedata r:id="rId16" o:title=""/>
          </v:shape>
          <o:OLEObject Type="Embed" ProgID="Mscgen.Chart" ShapeID="_x0000_i1028" DrawAspect="Content" ObjectID="_1619532177" r:id="rId17"/>
        </w:object>
      </w:r>
    </w:p>
    <w:p w14:paraId="04051659" w14:textId="77777777" w:rsidR="00A93A68" w:rsidRPr="002B3392" w:rsidRDefault="00A93A68" w:rsidP="00A93A68">
      <w:pPr>
        <w:pStyle w:val="TF"/>
        <w:rPr>
          <w:rFonts w:ascii="Times New Roman" w:hAnsi="Times New Roman"/>
          <w:b w:val="0"/>
        </w:rPr>
      </w:pPr>
      <w:r w:rsidRPr="002B3392">
        <w:rPr>
          <w:rFonts w:ascii="Times New Roman" w:hAnsi="Times New Roman"/>
          <w:b w:val="0"/>
        </w:rPr>
        <w:t xml:space="preserve">Figure </w:t>
      </w:r>
      <w:r>
        <w:rPr>
          <w:rFonts w:ascii="Times New Roman" w:hAnsi="Times New Roman"/>
          <w:b w:val="0"/>
        </w:rPr>
        <w:t>x2</w:t>
      </w:r>
      <w:r w:rsidRPr="002B3392">
        <w:rPr>
          <w:rFonts w:ascii="Times New Roman" w:hAnsi="Times New Roman"/>
          <w:b w:val="0"/>
        </w:rPr>
        <w:t xml:space="preserve">: </w:t>
      </w:r>
      <w:r>
        <w:rPr>
          <w:rFonts w:ascii="Times New Roman" w:hAnsi="Times New Roman"/>
          <w:b w:val="0"/>
        </w:rPr>
        <w:t>RRC Connection setup procedure</w:t>
      </w:r>
    </w:p>
    <w:p w14:paraId="5236FAEB" w14:textId="77777777" w:rsidR="00A93A68" w:rsidRDefault="00A93A68" w:rsidP="00A93A68">
      <w:r>
        <w:t xml:space="preserve">The connection resume procedure requires </w:t>
      </w:r>
      <w:r w:rsidRPr="00E452AB">
        <w:t xml:space="preserve">more than 3 </w:t>
      </w:r>
      <w:proofErr w:type="gramStart"/>
      <w:r>
        <w:t>round-trips</w:t>
      </w:r>
      <w:proofErr w:type="gramEnd"/>
      <w:r>
        <w:t xml:space="preserve"> between </w:t>
      </w:r>
      <w:proofErr w:type="spellStart"/>
      <w:r>
        <w:t>gNB</w:t>
      </w:r>
      <w:proofErr w:type="spellEnd"/>
      <w:r>
        <w:t xml:space="preserve"> and UE and additional 2 number of round-trips on </w:t>
      </w:r>
      <w:proofErr w:type="spellStart"/>
      <w:r>
        <w:t>Xn</w:t>
      </w:r>
      <w:proofErr w:type="spellEnd"/>
      <w:r>
        <w:t xml:space="preserve"> if the UE resume from different </w:t>
      </w:r>
      <w:proofErr w:type="spellStart"/>
      <w:r>
        <w:t>gNB</w:t>
      </w:r>
      <w:proofErr w:type="spellEnd"/>
      <w:r>
        <w:t xml:space="preserve"> before data is transferred by multiplexing with </w:t>
      </w:r>
      <w:proofErr w:type="spellStart"/>
      <w:r w:rsidRPr="00D261B7">
        <w:rPr>
          <w:i/>
        </w:rPr>
        <w:t>RRCResumeComplete</w:t>
      </w:r>
      <w:proofErr w:type="spellEnd"/>
      <w:r>
        <w:t xml:space="preserve"> message.  Even if we ignore the latency for RRC message processing and NGAP </w:t>
      </w:r>
      <w:proofErr w:type="spellStart"/>
      <w:r>
        <w:t>signalling</w:t>
      </w:r>
      <w:proofErr w:type="spellEnd"/>
      <w:r>
        <w:t xml:space="preserve"> transfer, this means the total latency could be up to 1890 </w:t>
      </w:r>
      <w:proofErr w:type="spellStart"/>
      <w:r>
        <w:t>ms</w:t>
      </w:r>
      <w:proofErr w:type="spellEnd"/>
      <w:r>
        <w:t xml:space="preserve"> (7*270ms) if </w:t>
      </w:r>
      <w:proofErr w:type="spellStart"/>
      <w:r>
        <w:t>Xn</w:t>
      </w:r>
      <w:proofErr w:type="spellEnd"/>
      <w:r>
        <w:t xml:space="preserve"> latency is ignored. </w:t>
      </w:r>
    </w:p>
    <w:p w14:paraId="2244F81E" w14:textId="2BA8F750" w:rsidR="00A93A68" w:rsidRDefault="00A93A68" w:rsidP="00A93A68">
      <w:r>
        <w:t>T</w:t>
      </w:r>
      <w:r w:rsidRPr="007F6F20">
        <w:t>he total CP latency for both IDLE and INACTIVE mode would be very large comparing w</w:t>
      </w:r>
      <w:r>
        <w:t xml:space="preserve">ith terrestrial network </w:t>
      </w:r>
      <w:r w:rsidRPr="00E87DB6">
        <w:rPr>
          <w:rFonts w:eastAsia="SimSun"/>
          <w:lang w:eastAsia="zh-CN"/>
        </w:rPr>
        <w:t>and</w:t>
      </w:r>
      <w:r>
        <w:t xml:space="preserve"> should be optimized</w:t>
      </w:r>
      <w:r w:rsidRPr="007F6F20">
        <w:t>.</w:t>
      </w:r>
    </w:p>
    <w:p w14:paraId="56477BD9" w14:textId="77777777" w:rsidR="00A93A68" w:rsidRPr="0031152B" w:rsidRDefault="00A93A68" w:rsidP="00A93A68">
      <w:pPr>
        <w:rPr>
          <w:lang w:eastAsia="zh-CN"/>
        </w:rPr>
      </w:pPr>
    </w:p>
    <w:p w14:paraId="1F3134BD" w14:textId="77777777" w:rsidR="00A93A68" w:rsidRPr="0031152B" w:rsidRDefault="00A93A68" w:rsidP="00A93A68">
      <w:pPr>
        <w:rPr>
          <w:lang w:eastAsia="zh-CN"/>
        </w:rPr>
      </w:pPr>
    </w:p>
    <w:sectPr w:rsidR="00A93A68" w:rsidRPr="003115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34EE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98541E"/>
    <w:multiLevelType w:val="hybridMultilevel"/>
    <w:tmpl w:val="4F7A84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C4883"/>
    <w:multiLevelType w:val="hybridMultilevel"/>
    <w:tmpl w:val="8B1C4220"/>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7A178A"/>
    <w:multiLevelType w:val="hybridMultilevel"/>
    <w:tmpl w:val="722693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617C9"/>
    <w:multiLevelType w:val="hybridMultilevel"/>
    <w:tmpl w:val="34D2ABCE"/>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D03459"/>
    <w:multiLevelType w:val="hybridMultilevel"/>
    <w:tmpl w:val="F1225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4B398F"/>
    <w:multiLevelType w:val="hybridMultilevel"/>
    <w:tmpl w:val="D7AE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D4737"/>
    <w:multiLevelType w:val="hybridMultilevel"/>
    <w:tmpl w:val="7616ADB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24C7D"/>
    <w:multiLevelType w:val="hybridMultilevel"/>
    <w:tmpl w:val="D9869D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FE2824"/>
    <w:multiLevelType w:val="hybridMultilevel"/>
    <w:tmpl w:val="53B0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8B7ECC"/>
    <w:multiLevelType w:val="hybridMultilevel"/>
    <w:tmpl w:val="40FED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4A5241"/>
    <w:multiLevelType w:val="hybridMultilevel"/>
    <w:tmpl w:val="83EEE9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65A0C"/>
    <w:multiLevelType w:val="hybridMultilevel"/>
    <w:tmpl w:val="B06C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CB6907"/>
    <w:multiLevelType w:val="hybridMultilevel"/>
    <w:tmpl w:val="70DC3F44"/>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738B7"/>
    <w:multiLevelType w:val="hybridMultilevel"/>
    <w:tmpl w:val="B06C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F21274"/>
    <w:multiLevelType w:val="hybridMultilevel"/>
    <w:tmpl w:val="3566D39A"/>
    <w:lvl w:ilvl="0" w:tplc="D7DCBE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0"/>
  </w:num>
  <w:num w:numId="4">
    <w:abstractNumId w:val="2"/>
  </w:num>
  <w:num w:numId="5">
    <w:abstractNumId w:val="8"/>
  </w:num>
  <w:num w:numId="6">
    <w:abstractNumId w:val="9"/>
  </w:num>
  <w:num w:numId="7">
    <w:abstractNumId w:val="1"/>
  </w:num>
  <w:num w:numId="8">
    <w:abstractNumId w:val="13"/>
  </w:num>
  <w:num w:numId="9">
    <w:abstractNumId w:val="3"/>
  </w:num>
  <w:num w:numId="10">
    <w:abstractNumId w:val="5"/>
  </w:num>
  <w:num w:numId="11">
    <w:abstractNumId w:val="11"/>
  </w:num>
  <w:num w:numId="12">
    <w:abstractNumId w:val="15"/>
  </w:num>
  <w:num w:numId="13">
    <w:abstractNumId w:val="17"/>
  </w:num>
  <w:num w:numId="14">
    <w:abstractNumId w:val="7"/>
  </w:num>
  <w:num w:numId="15">
    <w:abstractNumId w:val="14"/>
  </w:num>
  <w:num w:numId="16">
    <w:abstractNumId w:val="16"/>
  </w:num>
  <w:num w:numId="17">
    <w:abstractNumId w:val="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50"/>
    <w:rsid w:val="00000AA8"/>
    <w:rsid w:val="00003C71"/>
    <w:rsid w:val="00017B82"/>
    <w:rsid w:val="00020B87"/>
    <w:rsid w:val="000231DE"/>
    <w:rsid w:val="000311EE"/>
    <w:rsid w:val="00032E73"/>
    <w:rsid w:val="00034392"/>
    <w:rsid w:val="000344A3"/>
    <w:rsid w:val="00036DCD"/>
    <w:rsid w:val="000414BB"/>
    <w:rsid w:val="00041C08"/>
    <w:rsid w:val="000465DC"/>
    <w:rsid w:val="0006590F"/>
    <w:rsid w:val="000940E5"/>
    <w:rsid w:val="000A3131"/>
    <w:rsid w:val="000B698F"/>
    <w:rsid w:val="000C629F"/>
    <w:rsid w:val="000C67DC"/>
    <w:rsid w:val="000E409B"/>
    <w:rsid w:val="000E518B"/>
    <w:rsid w:val="000F695A"/>
    <w:rsid w:val="001103A2"/>
    <w:rsid w:val="00160D37"/>
    <w:rsid w:val="00162FBE"/>
    <w:rsid w:val="00174250"/>
    <w:rsid w:val="00175B7E"/>
    <w:rsid w:val="00182E18"/>
    <w:rsid w:val="0019689F"/>
    <w:rsid w:val="001A4BF6"/>
    <w:rsid w:val="001A5921"/>
    <w:rsid w:val="001A683E"/>
    <w:rsid w:val="001C490D"/>
    <w:rsid w:val="001D6B58"/>
    <w:rsid w:val="001F78EC"/>
    <w:rsid w:val="0021008E"/>
    <w:rsid w:val="00216217"/>
    <w:rsid w:val="002259C0"/>
    <w:rsid w:val="0023184A"/>
    <w:rsid w:val="00243C80"/>
    <w:rsid w:val="002504D8"/>
    <w:rsid w:val="002546A9"/>
    <w:rsid w:val="002837EB"/>
    <w:rsid w:val="0029308F"/>
    <w:rsid w:val="002930BC"/>
    <w:rsid w:val="002B1DC4"/>
    <w:rsid w:val="002B290E"/>
    <w:rsid w:val="002B50AA"/>
    <w:rsid w:val="002B6B8E"/>
    <w:rsid w:val="002C0FB3"/>
    <w:rsid w:val="002D2C37"/>
    <w:rsid w:val="002D33E1"/>
    <w:rsid w:val="002E685D"/>
    <w:rsid w:val="00304325"/>
    <w:rsid w:val="0031152B"/>
    <w:rsid w:val="0031319D"/>
    <w:rsid w:val="003215B5"/>
    <w:rsid w:val="003254C4"/>
    <w:rsid w:val="003273C0"/>
    <w:rsid w:val="00330524"/>
    <w:rsid w:val="003403C2"/>
    <w:rsid w:val="003413C0"/>
    <w:rsid w:val="00345955"/>
    <w:rsid w:val="003556EA"/>
    <w:rsid w:val="00365C63"/>
    <w:rsid w:val="00376A94"/>
    <w:rsid w:val="00377264"/>
    <w:rsid w:val="003A2C5A"/>
    <w:rsid w:val="003A3345"/>
    <w:rsid w:val="003A55B9"/>
    <w:rsid w:val="003B1408"/>
    <w:rsid w:val="003D32D3"/>
    <w:rsid w:val="003E52CD"/>
    <w:rsid w:val="003E7554"/>
    <w:rsid w:val="003F5B78"/>
    <w:rsid w:val="00401A01"/>
    <w:rsid w:val="00416555"/>
    <w:rsid w:val="0041784F"/>
    <w:rsid w:val="00422CD5"/>
    <w:rsid w:val="00426D95"/>
    <w:rsid w:val="004278F3"/>
    <w:rsid w:val="00441072"/>
    <w:rsid w:val="00442050"/>
    <w:rsid w:val="00445468"/>
    <w:rsid w:val="00461022"/>
    <w:rsid w:val="00461629"/>
    <w:rsid w:val="004718CB"/>
    <w:rsid w:val="004819A7"/>
    <w:rsid w:val="00483FBD"/>
    <w:rsid w:val="004925DB"/>
    <w:rsid w:val="00493DD3"/>
    <w:rsid w:val="004A1621"/>
    <w:rsid w:val="004A1CFC"/>
    <w:rsid w:val="004A77A9"/>
    <w:rsid w:val="004B21C6"/>
    <w:rsid w:val="004B36A9"/>
    <w:rsid w:val="004B4748"/>
    <w:rsid w:val="004C6456"/>
    <w:rsid w:val="004C713F"/>
    <w:rsid w:val="004D1466"/>
    <w:rsid w:val="004D16B8"/>
    <w:rsid w:val="004E07EE"/>
    <w:rsid w:val="004E78B3"/>
    <w:rsid w:val="005327B9"/>
    <w:rsid w:val="005352CD"/>
    <w:rsid w:val="00540625"/>
    <w:rsid w:val="005410F0"/>
    <w:rsid w:val="00545D82"/>
    <w:rsid w:val="00547F2A"/>
    <w:rsid w:val="005640B3"/>
    <w:rsid w:val="00564D51"/>
    <w:rsid w:val="005700EF"/>
    <w:rsid w:val="0057129B"/>
    <w:rsid w:val="0057367D"/>
    <w:rsid w:val="005839EA"/>
    <w:rsid w:val="005A2A1E"/>
    <w:rsid w:val="005B12DC"/>
    <w:rsid w:val="005B48A7"/>
    <w:rsid w:val="005B61B7"/>
    <w:rsid w:val="005D675A"/>
    <w:rsid w:val="005D7169"/>
    <w:rsid w:val="00612D96"/>
    <w:rsid w:val="00614D08"/>
    <w:rsid w:val="00615A55"/>
    <w:rsid w:val="0062032D"/>
    <w:rsid w:val="0062053B"/>
    <w:rsid w:val="00622872"/>
    <w:rsid w:val="00625BE8"/>
    <w:rsid w:val="006312CC"/>
    <w:rsid w:val="006333E7"/>
    <w:rsid w:val="00633BA7"/>
    <w:rsid w:val="006354AD"/>
    <w:rsid w:val="0063592F"/>
    <w:rsid w:val="00636F29"/>
    <w:rsid w:val="0064294D"/>
    <w:rsid w:val="006501D5"/>
    <w:rsid w:val="00653944"/>
    <w:rsid w:val="00655B26"/>
    <w:rsid w:val="00664E5E"/>
    <w:rsid w:val="006767E7"/>
    <w:rsid w:val="006A1C7F"/>
    <w:rsid w:val="006A228B"/>
    <w:rsid w:val="006C0E50"/>
    <w:rsid w:val="006D2030"/>
    <w:rsid w:val="006D4EF8"/>
    <w:rsid w:val="006D5654"/>
    <w:rsid w:val="006E293D"/>
    <w:rsid w:val="00706EE1"/>
    <w:rsid w:val="00721254"/>
    <w:rsid w:val="00723652"/>
    <w:rsid w:val="00723B22"/>
    <w:rsid w:val="00740634"/>
    <w:rsid w:val="007503CC"/>
    <w:rsid w:val="00753172"/>
    <w:rsid w:val="00765263"/>
    <w:rsid w:val="00772DCD"/>
    <w:rsid w:val="00773D39"/>
    <w:rsid w:val="00795BF6"/>
    <w:rsid w:val="007A2BE2"/>
    <w:rsid w:val="007A6DDA"/>
    <w:rsid w:val="007B5115"/>
    <w:rsid w:val="007C2924"/>
    <w:rsid w:val="007C3C9F"/>
    <w:rsid w:val="007D2DB4"/>
    <w:rsid w:val="007D503F"/>
    <w:rsid w:val="007E6A65"/>
    <w:rsid w:val="007F4DDC"/>
    <w:rsid w:val="00816FE7"/>
    <w:rsid w:val="008314FC"/>
    <w:rsid w:val="00833147"/>
    <w:rsid w:val="00845169"/>
    <w:rsid w:val="00861685"/>
    <w:rsid w:val="00871EE5"/>
    <w:rsid w:val="0088198A"/>
    <w:rsid w:val="00891CA2"/>
    <w:rsid w:val="0089236C"/>
    <w:rsid w:val="008A0D43"/>
    <w:rsid w:val="008A10C5"/>
    <w:rsid w:val="008A4AD4"/>
    <w:rsid w:val="008B113D"/>
    <w:rsid w:val="008B6705"/>
    <w:rsid w:val="008C3887"/>
    <w:rsid w:val="008E0218"/>
    <w:rsid w:val="008E46A8"/>
    <w:rsid w:val="008E5125"/>
    <w:rsid w:val="008F3B84"/>
    <w:rsid w:val="008F6FE7"/>
    <w:rsid w:val="009021C8"/>
    <w:rsid w:val="00910789"/>
    <w:rsid w:val="00910B6B"/>
    <w:rsid w:val="00911018"/>
    <w:rsid w:val="00916C4E"/>
    <w:rsid w:val="00942021"/>
    <w:rsid w:val="00945EAE"/>
    <w:rsid w:val="0096535B"/>
    <w:rsid w:val="00977598"/>
    <w:rsid w:val="00992464"/>
    <w:rsid w:val="009A1967"/>
    <w:rsid w:val="009A4C10"/>
    <w:rsid w:val="009C6B26"/>
    <w:rsid w:val="009D2644"/>
    <w:rsid w:val="009D3C44"/>
    <w:rsid w:val="009E6B31"/>
    <w:rsid w:val="009E6FAF"/>
    <w:rsid w:val="009E7405"/>
    <w:rsid w:val="009F32DB"/>
    <w:rsid w:val="00A17E03"/>
    <w:rsid w:val="00A243F0"/>
    <w:rsid w:val="00A43DF0"/>
    <w:rsid w:val="00A464DC"/>
    <w:rsid w:val="00A51CEF"/>
    <w:rsid w:val="00A52BC7"/>
    <w:rsid w:val="00A552EE"/>
    <w:rsid w:val="00A93A68"/>
    <w:rsid w:val="00A95018"/>
    <w:rsid w:val="00AA431A"/>
    <w:rsid w:val="00AC0FB7"/>
    <w:rsid w:val="00AD1F6A"/>
    <w:rsid w:val="00AD54D1"/>
    <w:rsid w:val="00AD5926"/>
    <w:rsid w:val="00AD691D"/>
    <w:rsid w:val="00AD7A22"/>
    <w:rsid w:val="00AF4212"/>
    <w:rsid w:val="00B034D4"/>
    <w:rsid w:val="00B045B4"/>
    <w:rsid w:val="00B04646"/>
    <w:rsid w:val="00B12017"/>
    <w:rsid w:val="00B2114C"/>
    <w:rsid w:val="00B25A87"/>
    <w:rsid w:val="00B33595"/>
    <w:rsid w:val="00B340BB"/>
    <w:rsid w:val="00B60009"/>
    <w:rsid w:val="00B8011C"/>
    <w:rsid w:val="00B85865"/>
    <w:rsid w:val="00BB4153"/>
    <w:rsid w:val="00BB6D92"/>
    <w:rsid w:val="00BC0F4A"/>
    <w:rsid w:val="00BC2382"/>
    <w:rsid w:val="00BC400B"/>
    <w:rsid w:val="00BF12C9"/>
    <w:rsid w:val="00BF5FD1"/>
    <w:rsid w:val="00C0766A"/>
    <w:rsid w:val="00C141A3"/>
    <w:rsid w:val="00C157BD"/>
    <w:rsid w:val="00C26597"/>
    <w:rsid w:val="00C44863"/>
    <w:rsid w:val="00C51EC8"/>
    <w:rsid w:val="00C54223"/>
    <w:rsid w:val="00C63C5F"/>
    <w:rsid w:val="00C67565"/>
    <w:rsid w:val="00C77128"/>
    <w:rsid w:val="00C859CB"/>
    <w:rsid w:val="00C95E98"/>
    <w:rsid w:val="00CA53DE"/>
    <w:rsid w:val="00CA5652"/>
    <w:rsid w:val="00CB3593"/>
    <w:rsid w:val="00CB5C11"/>
    <w:rsid w:val="00CC1C88"/>
    <w:rsid w:val="00CF2E5A"/>
    <w:rsid w:val="00D0399E"/>
    <w:rsid w:val="00D11ABE"/>
    <w:rsid w:val="00D121E9"/>
    <w:rsid w:val="00D201F2"/>
    <w:rsid w:val="00D411EA"/>
    <w:rsid w:val="00D54DD6"/>
    <w:rsid w:val="00D61D0E"/>
    <w:rsid w:val="00D6238E"/>
    <w:rsid w:val="00D64CDB"/>
    <w:rsid w:val="00D83B19"/>
    <w:rsid w:val="00D9477A"/>
    <w:rsid w:val="00DA4524"/>
    <w:rsid w:val="00DA6AFC"/>
    <w:rsid w:val="00DB67D9"/>
    <w:rsid w:val="00DC2904"/>
    <w:rsid w:val="00DD117F"/>
    <w:rsid w:val="00DD22C7"/>
    <w:rsid w:val="00DD316A"/>
    <w:rsid w:val="00E01A23"/>
    <w:rsid w:val="00E047AE"/>
    <w:rsid w:val="00E14AF1"/>
    <w:rsid w:val="00E25F9E"/>
    <w:rsid w:val="00E473B9"/>
    <w:rsid w:val="00E50143"/>
    <w:rsid w:val="00E50DFD"/>
    <w:rsid w:val="00E639A5"/>
    <w:rsid w:val="00E90781"/>
    <w:rsid w:val="00E947B9"/>
    <w:rsid w:val="00EA16B0"/>
    <w:rsid w:val="00EA6732"/>
    <w:rsid w:val="00EB5F2D"/>
    <w:rsid w:val="00EC472C"/>
    <w:rsid w:val="00ED5825"/>
    <w:rsid w:val="00ED65C1"/>
    <w:rsid w:val="00EF34E8"/>
    <w:rsid w:val="00EF4B5F"/>
    <w:rsid w:val="00EF63BB"/>
    <w:rsid w:val="00EF7820"/>
    <w:rsid w:val="00F00DA8"/>
    <w:rsid w:val="00F249AA"/>
    <w:rsid w:val="00F261ED"/>
    <w:rsid w:val="00F35339"/>
    <w:rsid w:val="00F354C0"/>
    <w:rsid w:val="00F53545"/>
    <w:rsid w:val="00F62608"/>
    <w:rsid w:val="00F63CDC"/>
    <w:rsid w:val="00F63D92"/>
    <w:rsid w:val="00F80511"/>
    <w:rsid w:val="00F855D9"/>
    <w:rsid w:val="00FA6649"/>
    <w:rsid w:val="00FC7C6A"/>
    <w:rsid w:val="00FD0E44"/>
    <w:rsid w:val="00FD2D39"/>
    <w:rsid w:val="00FD4B39"/>
    <w:rsid w:val="00FE5CA4"/>
    <w:rsid w:val="00FF5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ABA5E"/>
  <w15:chartTrackingRefBased/>
  <w15:docId w15:val="{F98B40E5-4C4E-4848-A5D9-02A68278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5955"/>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C29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C29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29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2924"/>
    <w:pPr>
      <w:numPr>
        <w:ilvl w:val="3"/>
      </w:numPr>
      <w:outlineLvl w:val="3"/>
    </w:pPr>
    <w:rPr>
      <w:sz w:val="24"/>
      <w:szCs w:val="24"/>
    </w:rPr>
  </w:style>
  <w:style w:type="paragraph" w:styleId="Heading5">
    <w:name w:val="heading 5"/>
    <w:basedOn w:val="Heading4"/>
    <w:next w:val="Normal"/>
    <w:link w:val="Heading5Char"/>
    <w:qFormat/>
    <w:rsid w:val="007C2924"/>
    <w:pPr>
      <w:numPr>
        <w:ilvl w:val="4"/>
      </w:numPr>
      <w:outlineLvl w:val="4"/>
    </w:pPr>
    <w:rPr>
      <w:sz w:val="22"/>
      <w:szCs w:val="22"/>
    </w:rPr>
  </w:style>
  <w:style w:type="paragraph" w:styleId="Heading6">
    <w:name w:val="heading 6"/>
    <w:basedOn w:val="Normal"/>
    <w:next w:val="Normal"/>
    <w:link w:val="Heading6Char"/>
    <w:qFormat/>
    <w:rsid w:val="007C292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7C292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7C2924"/>
    <w:pPr>
      <w:numPr>
        <w:ilvl w:val="7"/>
      </w:numPr>
      <w:outlineLvl w:val="7"/>
    </w:pPr>
  </w:style>
  <w:style w:type="paragraph" w:styleId="Heading9">
    <w:name w:val="heading 9"/>
    <w:basedOn w:val="Heading8"/>
    <w:next w:val="Normal"/>
    <w:link w:val="Heading9Char"/>
    <w:qFormat/>
    <w:rsid w:val="007C29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C29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C29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C29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29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C2924"/>
    <w:rPr>
      <w:rFonts w:ascii="Arial" w:eastAsia="Times New Roman" w:hAnsi="Arial" w:cs="Arial"/>
      <w:lang w:val="en-GB" w:eastAsia="zh-CN"/>
    </w:rPr>
  </w:style>
  <w:style w:type="character" w:customStyle="1" w:styleId="Heading6Char">
    <w:name w:val="Heading 6 Char"/>
    <w:basedOn w:val="DefaultParagraphFont"/>
    <w:link w:val="Heading6"/>
    <w:rsid w:val="007C29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C29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C29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C2924"/>
    <w:rPr>
      <w:rFonts w:ascii="Arial" w:eastAsia="Times New Roman" w:hAnsi="Arial" w:cs="Arial"/>
      <w:sz w:val="20"/>
      <w:szCs w:val="20"/>
      <w:lang w:val="en-GB" w:eastAsia="zh-CN"/>
    </w:rPr>
  </w:style>
  <w:style w:type="paragraph" w:customStyle="1" w:styleId="3GPPHeader">
    <w:name w:val="3GPP_Header"/>
    <w:basedOn w:val="Normal"/>
    <w:rsid w:val="007C2924"/>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Doc-text2">
    <w:name w:val="Doc-text2"/>
    <w:basedOn w:val="Normal"/>
    <w:link w:val="Doc-text2Char"/>
    <w:qFormat/>
    <w:rsid w:val="007C292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C2924"/>
    <w:rPr>
      <w:rFonts w:ascii="Arial" w:eastAsia="MS Mincho" w:hAnsi="Arial" w:cs="Times New Roman"/>
      <w:sz w:val="20"/>
      <w:szCs w:val="24"/>
      <w:lang w:val="en-GB" w:eastAsia="en-GB"/>
    </w:rPr>
  </w:style>
  <w:style w:type="paragraph" w:customStyle="1" w:styleId="Observation">
    <w:name w:val="Observation"/>
    <w:basedOn w:val="Normal"/>
    <w:qFormat/>
    <w:rsid w:val="007C2924"/>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Reference">
    <w:name w:val="Reference"/>
    <w:basedOn w:val="Normal"/>
    <w:rsid w:val="00445468"/>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E047AE"/>
    <w:pPr>
      <w:ind w:left="720"/>
      <w:contextualSpacing/>
    </w:pPr>
  </w:style>
  <w:style w:type="table" w:styleId="TableGrid">
    <w:name w:val="Table Grid"/>
    <w:basedOn w:val="TableNormal"/>
    <w:uiPriority w:val="39"/>
    <w:rsid w:val="006D4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qFormat/>
    <w:rsid w:val="0003439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0343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qFormat/>
    <w:rsid w:val="00034392"/>
    <w:pPr>
      <w:keepNext w:val="0"/>
      <w:spacing w:before="0" w:after="240"/>
    </w:pPr>
  </w:style>
  <w:style w:type="character" w:customStyle="1" w:styleId="B1Zchn">
    <w:name w:val="B1 Zchn"/>
    <w:link w:val="B1"/>
    <w:rsid w:val="00034392"/>
    <w:rPr>
      <w:rFonts w:ascii="Times New Roman" w:eastAsia="Times New Roman" w:hAnsi="Times New Roman" w:cs="Times New Roman"/>
      <w:sz w:val="20"/>
      <w:szCs w:val="20"/>
      <w:lang w:val="en-GB" w:eastAsia="ja-JP"/>
    </w:rPr>
  </w:style>
  <w:style w:type="character" w:customStyle="1" w:styleId="THChar">
    <w:name w:val="TH Char"/>
    <w:link w:val="TH"/>
    <w:qFormat/>
    <w:rsid w:val="00034392"/>
    <w:rPr>
      <w:rFonts w:ascii="Arial" w:eastAsia="Times New Roman" w:hAnsi="Arial" w:cs="Times New Roman"/>
      <w:b/>
      <w:sz w:val="20"/>
      <w:szCs w:val="20"/>
      <w:lang w:val="x-none" w:eastAsia="x-none"/>
    </w:rPr>
  </w:style>
  <w:style w:type="character" w:customStyle="1" w:styleId="TFChar">
    <w:name w:val="TF Char"/>
    <w:link w:val="TF"/>
    <w:rsid w:val="00034392"/>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034392"/>
    <w:pPr>
      <w:ind w:left="360" w:hanging="360"/>
      <w:contextualSpacing/>
    </w:pPr>
  </w:style>
  <w:style w:type="paragraph" w:styleId="BalloonText">
    <w:name w:val="Balloon Text"/>
    <w:basedOn w:val="Normal"/>
    <w:link w:val="BalloonTextChar"/>
    <w:uiPriority w:val="99"/>
    <w:semiHidden/>
    <w:unhideWhenUsed/>
    <w:rsid w:val="00C157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7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1870-4C52-4BC9-BF27-F440824583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EECEAB-A330-4DEB-9B13-171D27409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BDC127-8244-4789-A07E-0AC6543DB555}">
  <ds:schemaRefs>
    <ds:schemaRef ds:uri="http://schemas.microsoft.com/sharepoint/v3/contenttype/forms"/>
  </ds:schemaRefs>
</ds:datastoreItem>
</file>

<file path=customXml/itemProps4.xml><?xml version="1.0" encoding="utf-8"?>
<ds:datastoreItem xmlns:ds="http://schemas.openxmlformats.org/officeDocument/2006/customXml" ds:itemID="{94E40284-9270-4FC2-9BAB-F9713B57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4794</Words>
  <Characters>27329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12</cp:revision>
  <dcterms:created xsi:type="dcterms:W3CDTF">2019-05-16T19:14:00Z</dcterms:created>
  <dcterms:modified xsi:type="dcterms:W3CDTF">2019-05-16T21:16:00Z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